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emf" ContentType="image/x-emf"/>
  <Override PartName="/word/media/image13.emf" ContentType="image/x-emf"/>
  <Override PartName="/word/media/image15.emf" ContentType="image/x-emf"/>
  <Override PartName="/word/media/image14.emf" ContentType="image/x-emf"/>
  <Override PartName="/word/media/image1.emf" ContentType="image/x-emf"/>
  <Override PartName="/word/media/image2.emf" ContentType="image/x-emf"/>
  <Override PartName="/word/media/image3.emf" ContentType="image/x-emf"/>
  <Override PartName="/word/media/image4.emf" ContentType="image/x-emf"/>
  <Override PartName="/word/media/image5.emf" ContentType="image/x-emf"/>
  <Override PartName="/word/media/image10.emf" ContentType="image/x-emf"/>
  <Override PartName="/word/media/image6.emf" ContentType="image/x-emf"/>
  <Override PartName="/word/media/image11.emf" ContentType="image/x-emf"/>
  <Override PartName="/word/media/image7.emf" ContentType="image/x-emf"/>
  <Override PartName="/word/media/image12.emf" ContentType="image/x-emf"/>
  <Override PartName="/word/media/image8.emf" ContentType="image/x-emf"/>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tabs>
          <w:tab w:val="clear" w:pos="709"/>
          <w:tab w:val="left" w:pos="0" w:leader="none"/>
        </w:tabs>
        <w:bidi w:val="0"/>
        <w:spacing w:before="240" w:after="120"/>
        <w:ind w:left="0" w:hanging="0"/>
        <w:jc w:val="left"/>
        <w:rPr/>
      </w:pPr>
      <w:bookmarkStart w:id="0" w:name="introduction"/>
      <w:r>
        <w:rPr/>
        <w:t>Introduction</w:t>
      </w:r>
      <w:bookmarkEnd w:id="0"/>
    </w:p>
    <w:p>
      <w:pPr>
        <w:pStyle w:val="Heading4"/>
        <w:tabs>
          <w:tab w:val="clear" w:pos="709"/>
          <w:tab w:val="left" w:pos="0" w:leader="none"/>
        </w:tabs>
        <w:bidi w:val="0"/>
        <w:ind w:left="0" w:hanging="0"/>
        <w:jc w:val="left"/>
        <w:rPr/>
      </w:pPr>
      <w:bookmarkStart w:id="1" w:name="sustainability"/>
      <w:r>
        <w:rPr/>
        <w:t>Sustainability</w:t>
      </w:r>
      <w:bookmarkEnd w:id="1"/>
    </w:p>
    <w:p>
      <w:pPr>
        <w:pStyle w:val="Heading1"/>
        <w:tabs>
          <w:tab w:val="clear" w:pos="709"/>
          <w:tab w:val="left" w:pos="0" w:leader="none"/>
        </w:tabs>
        <w:bidi w:val="0"/>
        <w:ind w:left="0" w:hanging="0"/>
        <w:jc w:val="left"/>
        <w:rPr/>
      </w:pPr>
      <w:bookmarkStart w:id="2" w:name="vessel-study"/>
      <w:r>
        <w:rPr/>
        <w:t>Vessel Study</w:t>
      </w:r>
      <w:bookmarkEnd w:id="2"/>
    </w:p>
    <w:p>
      <w:pPr>
        <w:pStyle w:val="Heading3"/>
        <w:tabs>
          <w:tab w:val="clear" w:pos="709"/>
          <w:tab w:val="left" w:pos="0" w:leader="none"/>
        </w:tabs>
        <w:bidi w:val="0"/>
        <w:ind w:left="0" w:hanging="0"/>
        <w:jc w:val="left"/>
        <w:rPr/>
      </w:pPr>
      <w:bookmarkStart w:id="3" w:name="propulsion"/>
      <w:r>
        <w:rPr/>
        <w:t>Propulsion</w:t>
      </w:r>
      <w:bookmarkEnd w:id="3"/>
    </w:p>
    <w:p>
      <w:pPr>
        <w:pStyle w:val="Heading4"/>
        <w:tabs>
          <w:tab w:val="clear" w:pos="709"/>
          <w:tab w:val="left" w:pos="0" w:leader="none"/>
        </w:tabs>
        <w:bidi w:val="0"/>
        <w:ind w:left="0" w:hanging="0"/>
        <w:jc w:val="left"/>
        <w:rPr/>
      </w:pPr>
      <w:bookmarkStart w:id="4" w:name="power-requirements"/>
      <w:r>
        <w:rPr/>
        <w:t>Power Requirements</w:t>
      </w:r>
      <w:bookmarkEnd w:id="4"/>
    </w:p>
    <w:p>
      <w:pPr>
        <w:pStyle w:val="Heading5"/>
        <w:tabs>
          <w:tab w:val="clear" w:pos="709"/>
          <w:tab w:val="left" w:pos="0" w:leader="none"/>
        </w:tabs>
        <w:bidi w:val="0"/>
        <w:ind w:left="0" w:hanging="0"/>
        <w:jc w:val="left"/>
        <w:rPr/>
      </w:pPr>
      <w:bookmarkStart w:id="5" w:name="hotel-load-ap"/>
      <w:r>
        <w:rPr/>
        <w:t>Hotel Load [AP]</w:t>
      </w:r>
      <w:bookmarkEnd w:id="5"/>
    </w:p>
    <w:p>
      <w:pPr>
        <w:pStyle w:val="Firstparagraph"/>
        <w:bidi w:val="0"/>
        <w:jc w:val="left"/>
        <w:rPr/>
      </w:pPr>
      <w:r>
        <w:rPr/>
        <w:t xml:space="preserve">The hotel load is defined as the energy usage not related to the propulsion including lighting and power outlets. An estimation of this load for the vessel was modelled, a breakdown can be seen in figure </w:t>
      </w:r>
      <w:hyperlink w:anchor="fig:hotel-load">
        <w:r>
          <w:rPr>
            <w:rStyle w:val="InternetLink"/>
          </w:rPr>
          <w:t>1</w:t>
        </w:r>
      </w:hyperlink>
      <w:r>
        <w:rPr/>
        <w:t>. The total was estimated at 680 kWh per day. As can be seen the oven and food refrigeration make up the make up the majority, 3 methods for refrigeration were investigated in order to find the most energy efficient solution. These included a collection of standard upright fridges, all-in-one cold rooms and a bespoke cold room. All-in-one cold-rooms were the most energy efficient and were selected as a result.</w:t>
      </w:r>
    </w:p>
    <w:p>
      <w:pPr>
        <w:pStyle w:val="FigureWithCaption"/>
        <w:keepNext w:val="true"/>
        <w:suppressLineNumbers/>
        <w:bidi w:val="0"/>
        <w:jc w:val="left"/>
        <w:rPr/>
      </w:pPr>
      <w:r>
        <w:rPr/>
        <w:drawing>
          <wp:inline distT="0" distB="0" distL="0" distR="0">
            <wp:extent cx="6078855" cy="4471670"/>
            <wp:effectExtent l="0" t="0" r="0" b="0"/>
            <wp:docPr id="1" name="img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 descr=""/>
                    <pic:cNvPicPr>
                      <a:picLocks noChangeAspect="1" noChangeArrowheads="1"/>
                    </pic:cNvPicPr>
                  </pic:nvPicPr>
                  <pic:blipFill>
                    <a:blip r:embed="rId2"/>
                    <a:stretch>
                      <a:fillRect/>
                    </a:stretch>
                  </pic:blipFill>
                  <pic:spPr bwMode="auto">
                    <a:xfrm>
                      <a:off x="0" y="0"/>
                      <a:ext cx="6078855" cy="4471670"/>
                    </a:xfrm>
                    <a:prstGeom prst="rect">
                      <a:avLst/>
                    </a:prstGeom>
                  </pic:spPr>
                </pic:pic>
              </a:graphicData>
            </a:graphic>
          </wp:inline>
        </w:drawing>
      </w:r>
    </w:p>
    <w:p>
      <w:pPr>
        <w:pStyle w:val="FigureCaption"/>
        <w:bidi w:val="0"/>
        <w:jc w:val="left"/>
        <w:rPr/>
      </w:pPr>
      <w:r>
        <w:rPr/>
        <w:t>Breakdown of hotel load energy for the surface vessel, totals to $\thickapprox$680 kW[fig:hotel-load]</w:t>
      </w:r>
    </w:p>
    <w:p>
      <w:pPr>
        <w:pStyle w:val="Heading3"/>
        <w:tabs>
          <w:tab w:val="clear" w:pos="709"/>
          <w:tab w:val="left" w:pos="0" w:leader="none"/>
        </w:tabs>
        <w:bidi w:val="0"/>
        <w:ind w:left="0" w:hanging="0"/>
        <w:jc w:val="left"/>
        <w:rPr/>
      </w:pPr>
      <w:bookmarkStart w:id="6" w:name="efficiency-investigations"/>
      <w:r>
        <w:rPr/>
        <w:t>Efficiency Investigations</w:t>
      </w:r>
      <w:bookmarkEnd w:id="6"/>
    </w:p>
    <w:p>
      <w:pPr>
        <w:pStyle w:val="Heading4"/>
        <w:tabs>
          <w:tab w:val="clear" w:pos="709"/>
          <w:tab w:val="left" w:pos="0" w:leader="none"/>
        </w:tabs>
        <w:bidi w:val="0"/>
        <w:ind w:left="0" w:hanging="0"/>
        <w:jc w:val="left"/>
        <w:rPr/>
      </w:pPr>
      <w:bookmarkStart w:id="7" w:name="solar-ap"/>
      <w:r>
        <w:rPr/>
        <w:t>Solar [AP]</w:t>
      </w:r>
      <w:bookmarkEnd w:id="7"/>
    </w:p>
    <w:p>
      <w:pPr>
        <w:pStyle w:val="Firstparagraph"/>
        <w:bidi w:val="0"/>
        <w:jc w:val="left"/>
        <w:rPr/>
      </w:pPr>
      <w:r>
        <w:rPr/>
        <w:t>The scope the vessel’s solar energy capabilities was investigated with the intention of supplementing the chemical energy of the ammonia fuel cells. The capabilities of photovoltaic cells covering an area of the vessel’s footprint are considered and compared with both the financial and carbon cost in an effort to determine whether the proposal would be effective in achieving the goal of net-zero operations.</w:t>
      </w:r>
    </w:p>
    <w:p>
      <w:pPr>
        <w:pStyle w:val="TextBody"/>
        <w:bidi w:val="0"/>
        <w:spacing w:before="86" w:after="86"/>
        <w:jc w:val="left"/>
        <w:rPr/>
      </w:pPr>
      <w:r>
        <w:rPr/>
        <w:t>The expected available area capable of hosting photovoltaic cells was estimated to be 26m x 30m or 780 m</w:t>
      </w:r>
      <w:r>
        <w:rPr>
          <w:vertAlign w:val="superscript"/>
        </w:rPr>
        <w:t>2</w:t>
      </w:r>
      <w:r>
        <w:rPr/>
        <w:t>.</w:t>
      </w:r>
    </w:p>
    <w:p>
      <w:pPr>
        <w:pStyle w:val="Heading3"/>
        <w:tabs>
          <w:tab w:val="clear" w:pos="709"/>
          <w:tab w:val="left" w:pos="0" w:leader="none"/>
        </w:tabs>
        <w:bidi w:val="0"/>
        <w:ind w:left="0" w:hanging="0"/>
        <w:jc w:val="left"/>
        <w:rPr/>
      </w:pPr>
      <w:bookmarkStart w:id="8" w:name="energy-storage-apsecenergy-storage"/>
      <w:r>
        <w:rPr/>
        <w:t>Energy Storage [AP][sec:Energy-Storage]</w:t>
      </w:r>
      <w:bookmarkEnd w:id="8"/>
    </w:p>
    <w:p>
      <w:pPr>
        <w:pStyle w:val="Firstparagraph"/>
        <w:bidi w:val="0"/>
        <w:jc w:val="left"/>
        <w:rPr/>
      </w:pPr>
      <w:r>
        <w:rPr/>
        <w:t>The use of ammonia fuel cells for power generation on the vessel provides the opportunity to eliminate direct CO</w:t>
      </w:r>
      <w:r>
        <w:rPr>
          <w:vertAlign w:val="subscript"/>
        </w:rPr>
        <w:t>2</w:t>
      </w:r>
      <w:r>
        <w:rPr/>
        <w:t xml:space="preserve"> emissions from the vessel; when produced using renewable energy (</w:t>
      </w:r>
      <w:r>
        <w:rPr>
          <w:i/>
          <w:iCs/>
        </w:rPr>
        <w:t>green ammonia</w:t>
      </w:r>
      <w:r>
        <w:rPr/>
        <w:t>), the entire fuel supply chain from production to use can be made carbon-neutral. From an electrical perspective, however, the current-voltage characteristics of such a system must be considered.</w:t>
      </w:r>
    </w:p>
    <w:p>
      <w:pPr>
        <w:pStyle w:val="TextBody"/>
        <w:bidi w:val="0"/>
        <w:spacing w:before="86" w:after="86"/>
        <w:jc w:val="left"/>
        <w:rPr/>
      </w:pPr>
      <w:r>
        <w:rPr/>
        <w:t xml:space="preserve">Figure </w:t>
      </w:r>
      <w:hyperlink w:anchor="fig:fuel-cell-iv">
        <w:r>
          <w:rPr>
            <w:rStyle w:val="InternetLink"/>
          </w:rPr>
          <w:t>2</w:t>
        </w:r>
      </w:hyperlink>
      <w:r>
        <w:rPr/>
        <w:t xml:space="preserve"> presents the I-V characteristics for a typical fuel cell, it can be seen that drawing more current from a cell reduces it’s voltage. As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I</m:t>
        </m:r>
        <m:r>
          <w:rPr>
            <w:rFonts w:ascii="Cambria Math" w:hAnsi="Cambria Math"/>
          </w:rPr>
          <m:t xml:space="preserve">V</m:t>
        </m:r>
      </m:oMath>
      <w:r>
        <w:rPr/>
        <w:t xml:space="preserve">, this inverse relationship results in an optimum current draw to operate with the highest efficiency or power density. Operating outside of this area will accentuate losses, the dominant effects of each operating region can be seen in figure </w:t>
      </w:r>
      <w:hyperlink w:anchor="fig:fuel-cell-iv-losses">
        <w:r>
          <w:rPr>
            <w:rStyle w:val="InternetLink"/>
          </w:rPr>
          <w:t>3</w:t>
        </w:r>
      </w:hyperlink>
      <w:r>
        <w:rPr/>
        <w:t>. Comparing the two graphs, it can be seen that the optimum operating state would be in R-2; in fact drawing excess current and pushing into R-3 can damage the cell, .</w:t>
      </w:r>
    </w:p>
    <w:p>
      <w:pPr>
        <w:pStyle w:val="FigureWithCaption"/>
        <w:keepNext w:val="true"/>
        <w:suppressLineNumbers/>
        <w:bidi w:val="0"/>
        <w:jc w:val="left"/>
        <w:rPr/>
      </w:pPr>
      <w:r>
        <w:rPr/>
        <w:drawing>
          <wp:inline distT="0" distB="0" distL="0" distR="0">
            <wp:extent cx="5626100" cy="4343400"/>
            <wp:effectExtent l="0" t="0" r="0" b="0"/>
            <wp:docPr id="2" name="img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 descr=""/>
                    <pic:cNvPicPr>
                      <a:picLocks noChangeAspect="1" noChangeArrowheads="1"/>
                    </pic:cNvPicPr>
                  </pic:nvPicPr>
                  <pic:blipFill>
                    <a:blip r:embed="rId3"/>
                    <a:stretch>
                      <a:fillRect/>
                    </a:stretch>
                  </pic:blipFill>
                  <pic:spPr bwMode="auto">
                    <a:xfrm>
                      <a:off x="0" y="0"/>
                      <a:ext cx="5626100" cy="4343400"/>
                    </a:xfrm>
                    <a:prstGeom prst="rect">
                      <a:avLst/>
                    </a:prstGeom>
                  </pic:spPr>
                </pic:pic>
              </a:graphicData>
            </a:graphic>
          </wp:inline>
        </w:drawing>
      </w:r>
    </w:p>
    <w:p>
      <w:pPr>
        <w:pStyle w:val="FigureCaption"/>
        <w:bidi w:val="0"/>
        <w:jc w:val="left"/>
        <w:rPr/>
      </w:pPr>
      <w:r>
        <w:rPr/>
        <w:t>Current-Voltage characteristics for a typical fuel cell, rated operating point highlighted, [fig:fuel-cell-iv]</w:t>
      </w:r>
    </w:p>
    <w:p>
      <w:pPr>
        <w:pStyle w:val="TextBody"/>
        <w:bidi w:val="0"/>
        <w:spacing w:before="86" w:after="86"/>
        <w:jc w:val="left"/>
        <w:rPr/>
      </w:pPr>
      <w:r>
        <w:rPr/>
        <w:drawing>
          <wp:inline distT="0" distB="0" distL="0" distR="0">
            <wp:extent cx="3746500" cy="2603500"/>
            <wp:effectExtent l="0" t="0" r="0" b="0"/>
            <wp:docPr id="3" name="img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3" descr=""/>
                    <pic:cNvPicPr>
                      <a:picLocks noChangeAspect="1" noChangeArrowheads="1"/>
                    </pic:cNvPicPr>
                  </pic:nvPicPr>
                  <pic:blipFill>
                    <a:blip r:embed="rId4"/>
                    <a:stretch>
                      <a:fillRect/>
                    </a:stretch>
                  </pic:blipFill>
                  <pic:spPr bwMode="auto">
                    <a:xfrm>
                      <a:off x="0" y="0"/>
                      <a:ext cx="3746500" cy="2603500"/>
                    </a:xfrm>
                    <a:prstGeom prst="rect">
                      <a:avLst/>
                    </a:prstGeom>
                  </pic:spPr>
                </pic:pic>
              </a:graphicData>
            </a:graphic>
          </wp:inline>
        </w:drawing>
      </w:r>
      <w:r>
        <w:rPr/>
        <w:t>.</w:t>
      </w:r>
    </w:p>
    <w:p>
      <w:pPr>
        <w:pStyle w:val="TextBody"/>
        <w:bidi w:val="0"/>
        <w:spacing w:before="86" w:after="86"/>
        <w:jc w:val="left"/>
        <w:rPr/>
      </w:pPr>
      <w:r>
        <w:rPr/>
        <w:t>From these figures, fuel cells could be described as being sensitive to a noisy or dynamic load draw. This could pose a complication if these cells were to be directly coupled to the drive motor stage where changes in thrust and therefore required power can be vary quickly, especially when using dynamic positioning in a high sea state. Ideally, the use of more cells operating in their optimum state would be preferred over increasing the draw on a smaller population. However, this increase in active cells is not an instantaneous operation and cells require time to reach their optimum state. To allow this focus on efficiency, the load including hotel and propulsion power should be decoupled from the fuel cells with an electrical storage buffer in between. This will allow the buffer to absorb spikes in load draw and allow the fuel cells to increase power generation by increasing active cells instead of individual draw.</w:t>
      </w:r>
    </w:p>
    <w:p>
      <w:pPr>
        <w:pStyle w:val="TextBody"/>
        <w:bidi w:val="0"/>
        <w:spacing w:before="86" w:after="86"/>
        <w:jc w:val="left"/>
        <w:rPr/>
      </w:pPr>
      <w:r>
        <w:rPr/>
        <w:t>The following outlines solutions for this described buffer, rechargeable batteries are the natural option and as such this is considered first. Other, innovative solutions are also outlined before the implementation of a suitable solution is presented along with the safety and financial implications of such a system.</w:t>
      </w:r>
    </w:p>
    <w:p>
      <w:pPr>
        <w:pStyle w:val="Heading4"/>
        <w:tabs>
          <w:tab w:val="clear" w:pos="709"/>
          <w:tab w:val="left" w:pos="0" w:leader="none"/>
        </w:tabs>
        <w:bidi w:val="0"/>
        <w:ind w:left="0" w:hanging="0"/>
        <w:jc w:val="left"/>
        <w:rPr/>
      </w:pPr>
      <w:bookmarkStart w:id="9" w:name="rechargeable-battery-chemistry"/>
      <w:r>
        <w:rPr/>
        <w:t>Rechargeable Battery Chemistry</w:t>
      </w:r>
      <w:bookmarkEnd w:id="9"/>
    </w:p>
    <w:p>
      <w:pPr>
        <w:pStyle w:val="Firstparagraph"/>
        <w:bidi w:val="0"/>
        <w:jc w:val="left"/>
        <w:rPr/>
      </w:pPr>
      <w:r>
        <w:rPr/>
        <w:t xml:space="preserve">There are many different methods for constructing a traditional rechargeable battery or </w:t>
      </w:r>
      <w:r>
        <w:rPr>
          <w:i/>
          <w:iCs/>
        </w:rPr>
        <w:t>secondary cell</w:t>
      </w:r>
      <w:r>
        <w:rPr/>
        <w:t>; the chemistry of the reactants determines the characteristics of the system as well as having drastic implications on the safety and sustainability. Secondary cells are a consumable item, their components degrade with usage and this lifespan will be reduced if not constructed and maintained correctly. This only accentuates the importance of the solution’s sustainability as it constitute a significant amount of material which will periodically require source and disposal.</w:t>
      </w:r>
    </w:p>
    <w:p>
      <w:pPr>
        <w:pStyle w:val="Normal"/>
        <w:bidi w:val="0"/>
        <w:jc w:val="left"/>
        <w:rPr/>
      </w:pPr>
      <w:r>
        <w:rPr/>
        <w:t>Comparison of physical characteristics for common rechargeable battery chemistry[tab:battery-chemistry-stats]</w:t>
      </w:r>
    </w:p>
    <w:tbl>
      <w:tblPr>
        <w:tblW w:w="9360" w:type="dxa"/>
        <w:jc w:val="left"/>
        <w:tblInd w:w="0" w:type="dxa"/>
        <w:tblLayout w:type="fixed"/>
        <w:tblCellMar>
          <w:top w:w="0" w:type="dxa"/>
          <w:left w:w="0" w:type="dxa"/>
          <w:bottom w:w="0" w:type="dxa"/>
          <w:right w:w="0" w:type="dxa"/>
        </w:tblCellMar>
      </w:tblPr>
      <w:tblGrid>
        <w:gridCol w:w="1337"/>
        <w:gridCol w:w="1337"/>
        <w:gridCol w:w="1337"/>
        <w:gridCol w:w="1337"/>
        <w:gridCol w:w="1337"/>
        <w:gridCol w:w="1337"/>
        <w:gridCol w:w="1338"/>
      </w:tblGrid>
      <w:tr>
        <w:trPr>
          <w:tblHeader w:val="true"/>
        </w:trPr>
        <w:tc>
          <w:tcPr>
            <w:tcW w:w="1337" w:type="dxa"/>
            <w:tcBorders/>
          </w:tcPr>
          <w:p>
            <w:pPr>
              <w:pStyle w:val="Normal"/>
              <w:bidi w:val="0"/>
              <w:jc w:val="left"/>
              <w:rPr/>
            </w:pPr>
            <w:r>
              <w:rPr/>
            </w:r>
          </w:p>
        </w:tc>
        <w:tc>
          <w:tcPr>
            <w:tcW w:w="1337" w:type="dxa"/>
            <w:tcBorders/>
          </w:tcPr>
          <w:p>
            <w:pPr>
              <w:pStyle w:val="TableHeading"/>
              <w:bidi w:val="0"/>
              <w:jc w:val="left"/>
              <w:rPr>
                <w:b/>
                <w:b/>
                <w:bCs/>
              </w:rPr>
            </w:pPr>
            <w:r>
              <w:rPr>
                <w:b/>
                <w:bCs/>
              </w:rPr>
              <w:t>NiCd</w:t>
            </w:r>
          </w:p>
        </w:tc>
        <w:tc>
          <w:tcPr>
            <w:tcW w:w="1337" w:type="dxa"/>
            <w:tcBorders/>
          </w:tcPr>
          <w:p>
            <w:pPr>
              <w:pStyle w:val="TableHeading"/>
              <w:bidi w:val="0"/>
              <w:jc w:val="left"/>
              <w:rPr>
                <w:b/>
                <w:b/>
                <w:bCs/>
              </w:rPr>
            </w:pPr>
            <w:r>
              <w:rPr>
                <w:b/>
                <w:bCs/>
              </w:rPr>
              <w:t>NiMH</w:t>
            </w:r>
          </w:p>
        </w:tc>
        <w:tc>
          <w:tcPr>
            <w:tcW w:w="1337" w:type="dxa"/>
            <w:tcBorders/>
          </w:tcPr>
          <w:p>
            <w:pPr>
              <w:pStyle w:val="TableHeading"/>
              <w:bidi w:val="0"/>
              <w:jc w:val="left"/>
              <w:rPr>
                <w:b/>
                <w:b/>
                <w:bCs/>
              </w:rPr>
            </w:pPr>
            <w:r>
              <w:rPr>
                <w:b/>
                <w:bCs/>
              </w:rPr>
              <w:t>Lead Acid</w:t>
            </w:r>
          </w:p>
        </w:tc>
        <w:tc>
          <w:tcPr>
            <w:tcW w:w="1337" w:type="dxa"/>
            <w:tcBorders/>
          </w:tcPr>
          <w:p>
            <w:pPr>
              <w:pStyle w:val="TableHeading"/>
              <w:bidi w:val="0"/>
              <w:jc w:val="left"/>
              <w:rPr>
                <w:b/>
                <w:b/>
                <w:bCs/>
              </w:rPr>
            </w:pPr>
            <w:r>
              <w:rPr>
                <w:b/>
                <w:bCs/>
              </w:rPr>
              <w:t>Li-ion</w:t>
            </w:r>
          </w:p>
        </w:tc>
        <w:tc>
          <w:tcPr>
            <w:tcW w:w="1337" w:type="dxa"/>
            <w:tcBorders/>
          </w:tcPr>
          <w:p>
            <w:pPr>
              <w:pStyle w:val="TableHeading"/>
              <w:bidi w:val="0"/>
              <w:jc w:val="left"/>
              <w:rPr>
                <w:b/>
                <w:b/>
                <w:bCs/>
              </w:rPr>
            </w:pPr>
            <w:r>
              <w:rPr>
                <w:b/>
                <w:bCs/>
              </w:rPr>
              <w:t>Li-ion Polymer</w:t>
            </w:r>
          </w:p>
        </w:tc>
        <w:tc>
          <w:tcPr>
            <w:tcW w:w="1338" w:type="dxa"/>
            <w:tcBorders/>
          </w:tcPr>
          <w:p>
            <w:pPr>
              <w:pStyle w:val="TableHeading"/>
              <w:bidi w:val="0"/>
              <w:jc w:val="left"/>
              <w:rPr>
                <w:b/>
                <w:b/>
                <w:bCs/>
              </w:rPr>
            </w:pPr>
            <w:r>
              <w:rPr>
                <w:b/>
                <w:bCs/>
              </w:rPr>
              <w:t>Reusable Alkaline</w:t>
            </w:r>
          </w:p>
        </w:tc>
      </w:tr>
      <w:tr>
        <w:trPr/>
        <w:tc>
          <w:tcPr>
            <w:tcW w:w="1337" w:type="dxa"/>
            <w:tcBorders/>
          </w:tcPr>
          <w:p>
            <w:pPr>
              <w:pStyle w:val="TableContents"/>
              <w:suppressLineNumbers/>
              <w:bidi w:val="0"/>
              <w:ind w:left="43" w:right="43" w:hanging="0"/>
              <w:jc w:val="left"/>
              <w:rPr/>
            </w:pPr>
            <w:r>
              <w:rPr/>
              <w:t>Gravimetric Energy Density</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(Wh/kg)</w:t>
            </w:r>
          </w:p>
        </w:tc>
        <w:tc>
          <w:tcPr>
            <w:tcW w:w="1337" w:type="dxa"/>
            <w:tcBorders/>
          </w:tcPr>
          <w:p>
            <w:pPr>
              <w:pStyle w:val="TableContents"/>
              <w:suppressLineNumbers/>
              <w:bidi w:val="0"/>
              <w:ind w:left="43" w:right="43" w:hanging="0"/>
              <w:jc w:val="left"/>
              <w:rPr/>
            </w:pPr>
            <w:r>
              <w:rPr/>
              <w:t>- 80</w:t>
            </w:r>
          </w:p>
        </w:tc>
        <w:tc>
          <w:tcPr>
            <w:tcW w:w="1337" w:type="dxa"/>
            <w:tcBorders/>
          </w:tcPr>
          <w:p>
            <w:pPr>
              <w:pStyle w:val="TableContents"/>
              <w:suppressLineNumbers/>
              <w:bidi w:val="0"/>
              <w:ind w:left="43" w:right="43" w:hanging="0"/>
              <w:jc w:val="left"/>
              <w:rPr/>
            </w:pPr>
            <w:r>
              <w:rPr/>
              <w:t>- 120</w:t>
            </w:r>
          </w:p>
        </w:tc>
        <w:tc>
          <w:tcPr>
            <w:tcW w:w="1337" w:type="dxa"/>
            <w:tcBorders/>
          </w:tcPr>
          <w:p>
            <w:pPr>
              <w:pStyle w:val="TableContents"/>
              <w:suppressLineNumbers/>
              <w:bidi w:val="0"/>
              <w:ind w:left="43" w:right="43" w:hanging="0"/>
              <w:jc w:val="left"/>
              <w:rPr/>
            </w:pPr>
            <w:r>
              <w:rPr/>
              <w:t>- 50</w:t>
            </w:r>
          </w:p>
        </w:tc>
        <w:tc>
          <w:tcPr>
            <w:tcW w:w="1337" w:type="dxa"/>
            <w:tcBorders/>
          </w:tcPr>
          <w:p>
            <w:pPr>
              <w:pStyle w:val="TableContents"/>
              <w:suppressLineNumbers/>
              <w:bidi w:val="0"/>
              <w:ind w:left="43" w:right="43" w:hanging="0"/>
              <w:jc w:val="left"/>
              <w:rPr/>
            </w:pPr>
            <w:r>
              <w:rPr/>
              <w:t>- 160</w:t>
            </w:r>
          </w:p>
        </w:tc>
        <w:tc>
          <w:tcPr>
            <w:tcW w:w="1337" w:type="dxa"/>
            <w:tcBorders/>
          </w:tcPr>
          <w:p>
            <w:pPr>
              <w:pStyle w:val="TableContents"/>
              <w:suppressLineNumbers/>
              <w:bidi w:val="0"/>
              <w:ind w:left="43" w:right="43" w:hanging="0"/>
              <w:jc w:val="left"/>
              <w:rPr/>
            </w:pPr>
            <w:r>
              <w:rPr/>
              <w:t>- 130</w:t>
            </w:r>
          </w:p>
        </w:tc>
        <w:tc>
          <w:tcPr>
            <w:tcW w:w="1338" w:type="dxa"/>
            <w:tcBorders/>
          </w:tcPr>
          <w:p>
            <w:pPr>
              <w:pStyle w:val="TableContents"/>
              <w:suppressLineNumbers/>
              <w:bidi w:val="0"/>
              <w:ind w:left="43" w:right="43" w:hanging="0"/>
              <w:jc w:val="left"/>
              <w:rPr/>
            </w:pPr>
            <w:r>
              <w:rPr/>
              <w:t>(initial)</w:t>
            </w:r>
          </w:p>
        </w:tc>
      </w:tr>
      <w:tr>
        <w:trPr/>
        <w:tc>
          <w:tcPr>
            <w:tcW w:w="1337" w:type="dxa"/>
            <w:tcBorders/>
          </w:tcPr>
          <w:p>
            <w:pPr>
              <w:pStyle w:val="TableContents"/>
              <w:suppressLineNumbers/>
              <w:bidi w:val="0"/>
              <w:ind w:left="43" w:right="43" w:hanging="0"/>
              <w:jc w:val="left"/>
              <w:rPr/>
            </w:pPr>
            <w:r>
              <w:rPr/>
              <w:t>Cycle Life</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(to 80% of initial)</w:t>
            </w:r>
          </w:p>
        </w:tc>
        <w:tc>
          <w:tcPr>
            <w:tcW w:w="1337" w:type="dxa"/>
            <w:tcBorders/>
          </w:tcPr>
          <w:p>
            <w:pPr>
              <w:pStyle w:val="Normal"/>
              <w:bidi w:val="0"/>
              <w:jc w:val="left"/>
              <w:rPr/>
            </w:pPr>
            <w:r>
              <w:rPr/>
            </w:r>
          </w:p>
        </w:tc>
        <w:tc>
          <w:tcPr>
            <w:tcW w:w="1337" w:type="dxa"/>
            <w:tcBorders/>
          </w:tcPr>
          <w:p>
            <w:pPr>
              <w:pStyle w:val="TableContents"/>
              <w:suppressLineNumbers/>
              <w:bidi w:val="0"/>
              <w:ind w:left="43" w:right="43" w:hanging="0"/>
              <w:jc w:val="left"/>
              <w:rPr/>
            </w:pPr>
            <w:r>
              <w:rPr/>
              <w:t>- 500</w:t>
            </w:r>
          </w:p>
        </w:tc>
        <w:tc>
          <w:tcPr>
            <w:tcW w:w="1337" w:type="dxa"/>
            <w:tcBorders/>
          </w:tcPr>
          <w:p>
            <w:pPr>
              <w:pStyle w:val="TableContents"/>
              <w:suppressLineNumbers/>
              <w:bidi w:val="0"/>
              <w:ind w:left="43" w:right="43" w:hanging="0"/>
              <w:jc w:val="left"/>
              <w:rPr/>
            </w:pPr>
            <w:r>
              <w:rPr/>
              <w:t>- 300</w:t>
            </w:r>
          </w:p>
        </w:tc>
        <w:tc>
          <w:tcPr>
            <w:tcW w:w="1337" w:type="dxa"/>
            <w:tcBorders/>
          </w:tcPr>
          <w:p>
            <w:pPr>
              <w:pStyle w:val="TableContents"/>
              <w:suppressLineNumbers/>
              <w:bidi w:val="0"/>
              <w:ind w:left="43" w:right="43" w:hanging="0"/>
              <w:jc w:val="left"/>
              <w:rPr/>
            </w:pPr>
            <w:r>
              <w:rPr/>
              <w:t>- 1000</w:t>
            </w:r>
          </w:p>
        </w:tc>
        <w:tc>
          <w:tcPr>
            <w:tcW w:w="1337" w:type="dxa"/>
            <w:tcBorders/>
          </w:tcPr>
          <w:p>
            <w:pPr>
              <w:pStyle w:val="TableContents"/>
              <w:suppressLineNumbers/>
              <w:bidi w:val="0"/>
              <w:ind w:left="43" w:right="43" w:hanging="0"/>
              <w:jc w:val="left"/>
              <w:rPr/>
            </w:pPr>
            <w:r>
              <w:rPr/>
              <w:t>- 500</w:t>
            </w:r>
          </w:p>
        </w:tc>
        <w:tc>
          <w:tcPr>
            <w:tcW w:w="1338" w:type="dxa"/>
            <w:tcBorders/>
          </w:tcPr>
          <w:p>
            <w:pPr>
              <w:pStyle w:val="Normal"/>
              <w:bidi w:val="0"/>
              <w:jc w:val="left"/>
              <w:rPr/>
            </w:pPr>
            <w:r>
              <w:rPr/>
            </w:r>
          </w:p>
        </w:tc>
      </w:tr>
      <w:tr>
        <w:trPr/>
        <w:tc>
          <w:tcPr>
            <w:tcW w:w="1337" w:type="dxa"/>
            <w:tcBorders/>
          </w:tcPr>
          <w:p>
            <w:pPr>
              <w:pStyle w:val="TableContents"/>
              <w:suppressLineNumbers/>
              <w:bidi w:val="0"/>
              <w:ind w:left="43" w:right="43" w:hanging="0"/>
              <w:jc w:val="left"/>
              <w:rPr/>
            </w:pPr>
            <w:r>
              <w:rPr/>
              <w:t>Self-discharge / Month</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(room temperature)</w:t>
            </w:r>
          </w:p>
        </w:tc>
        <w:tc>
          <w:tcPr>
            <w:tcW w:w="1337" w:type="dxa"/>
            <w:tcBorders/>
          </w:tcPr>
          <w:p>
            <w:pPr>
              <w:pStyle w:val="TableContents"/>
              <w:suppressLineNumbers/>
              <w:bidi w:val="0"/>
              <w:ind w:left="43" w:right="43" w:hanging="0"/>
              <w:jc w:val="left"/>
              <w:rPr/>
            </w:pPr>
            <w:r>
              <w:rPr/>
              <w:t>%</w:t>
            </w:r>
          </w:p>
        </w:tc>
        <w:tc>
          <w:tcPr>
            <w:tcW w:w="1337" w:type="dxa"/>
            <w:tcBorders/>
          </w:tcPr>
          <w:p>
            <w:pPr>
              <w:pStyle w:val="TableContents"/>
              <w:suppressLineNumbers/>
              <w:bidi w:val="0"/>
              <w:ind w:left="43" w:right="43" w:hanging="0"/>
              <w:jc w:val="left"/>
              <w:rPr/>
            </w:pPr>
            <w:r>
              <w:rPr/>
              <w:t>%</w:t>
            </w:r>
          </w:p>
        </w:tc>
        <w:tc>
          <w:tcPr>
            <w:tcW w:w="1337" w:type="dxa"/>
            <w:tcBorders/>
          </w:tcPr>
          <w:p>
            <w:pPr>
              <w:pStyle w:val="TableContents"/>
              <w:suppressLineNumbers/>
              <w:bidi w:val="0"/>
              <w:ind w:left="43" w:right="43" w:hanging="0"/>
              <w:jc w:val="left"/>
              <w:rPr/>
            </w:pPr>
            <w:r>
              <w:rPr/>
              <w:t>%</w:t>
            </w:r>
          </w:p>
        </w:tc>
        <w:tc>
          <w:tcPr>
            <w:tcW w:w="1337" w:type="dxa"/>
            <w:tcBorders/>
          </w:tcPr>
          <w:p>
            <w:pPr>
              <w:pStyle w:val="TableContents"/>
              <w:suppressLineNumbers/>
              <w:bidi w:val="0"/>
              <w:ind w:left="43" w:right="43" w:hanging="0"/>
              <w:jc w:val="left"/>
              <w:rPr/>
            </w:pPr>
            <w:r>
              <w:rPr/>
              <w:t>%</w:t>
            </w:r>
          </w:p>
        </w:tc>
        <w:tc>
          <w:tcPr>
            <w:tcW w:w="1337" w:type="dxa"/>
            <w:tcBorders/>
          </w:tcPr>
          <w:p>
            <w:pPr>
              <w:pStyle w:val="TableContents"/>
              <w:suppressLineNumbers/>
              <w:bidi w:val="0"/>
              <w:ind w:left="43" w:right="43" w:hanging="0"/>
              <w:jc w:val="left"/>
              <w:rPr/>
            </w:pPr>
            <w:r>
              <w:rPr/>
              <w:t>~10%</w:t>
            </w:r>
          </w:p>
        </w:tc>
        <w:tc>
          <w:tcPr>
            <w:tcW w:w="1338" w:type="dxa"/>
            <w:tcBorders/>
          </w:tcPr>
          <w:p>
            <w:pPr>
              <w:pStyle w:val="TableContents"/>
              <w:suppressLineNumbers/>
              <w:bidi w:val="0"/>
              <w:ind w:left="43" w:right="43" w:hanging="0"/>
              <w:jc w:val="left"/>
              <w:rPr/>
            </w:pPr>
            <w:r>
              <w:rPr/>
              <w:t>%</w:t>
            </w:r>
          </w:p>
        </w:tc>
      </w:tr>
      <w:tr>
        <w:trPr/>
        <w:tc>
          <w:tcPr>
            <w:tcW w:w="1337" w:type="dxa"/>
            <w:tcBorders/>
          </w:tcPr>
          <w:p>
            <w:pPr>
              <w:pStyle w:val="TableContents"/>
              <w:suppressLineNumbers/>
              <w:bidi w:val="0"/>
              <w:ind w:left="43" w:right="43" w:hanging="0"/>
              <w:jc w:val="left"/>
              <w:rPr/>
            </w:pPr>
            <w:r>
              <w:rPr/>
              <w:t>Load Current</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(Peak)</w:t>
            </w:r>
          </w:p>
        </w:tc>
        <w:tc>
          <w:tcPr>
            <w:tcW w:w="1337" w:type="dxa"/>
            <w:tcBorders/>
          </w:tcPr>
          <w:p>
            <w:pPr>
              <w:pStyle w:val="TableContents"/>
              <w:suppressLineNumbers/>
              <w:bidi w:val="0"/>
              <w:ind w:left="43" w:right="43" w:hanging="0"/>
              <w:jc w:val="left"/>
              <w:rPr/>
            </w:pPr>
            <w:r>
              <w:rPr/>
              <w:t>20C</w:t>
            </w:r>
          </w:p>
        </w:tc>
        <w:tc>
          <w:tcPr>
            <w:tcW w:w="1337" w:type="dxa"/>
            <w:tcBorders/>
          </w:tcPr>
          <w:p>
            <w:pPr>
              <w:pStyle w:val="TableContents"/>
              <w:suppressLineNumbers/>
              <w:bidi w:val="0"/>
              <w:ind w:left="43" w:right="43" w:hanging="0"/>
              <w:jc w:val="left"/>
              <w:rPr/>
            </w:pPr>
            <w:r>
              <w:rPr/>
              <w:t>5C</w:t>
            </w:r>
          </w:p>
        </w:tc>
        <w:tc>
          <w:tcPr>
            <w:tcW w:w="1337" w:type="dxa"/>
            <w:tcBorders/>
          </w:tcPr>
          <w:p>
            <w:pPr>
              <w:pStyle w:val="TableContents"/>
              <w:suppressLineNumbers/>
              <w:bidi w:val="0"/>
              <w:ind w:left="43" w:right="43" w:hanging="0"/>
              <w:jc w:val="left"/>
              <w:rPr/>
            </w:pPr>
            <w:r>
              <w:rPr/>
              <w:t>5C</w:t>
            </w:r>
          </w:p>
        </w:tc>
        <w:tc>
          <w:tcPr>
            <w:tcW w:w="1337" w:type="dxa"/>
            <w:tcBorders/>
          </w:tcPr>
          <w:p>
            <w:pPr>
              <w:pStyle w:val="TableContents"/>
              <w:suppressLineNumbers/>
              <w:bidi w:val="0"/>
              <w:ind w:left="43" w:right="43" w:hanging="0"/>
              <w:jc w:val="left"/>
              <w:rPr/>
            </w:pPr>
            <w:r>
              <w:rPr/>
              <w:t>&gt;2C</w:t>
            </w:r>
          </w:p>
        </w:tc>
        <w:tc>
          <w:tcPr>
            <w:tcW w:w="1337" w:type="dxa"/>
            <w:tcBorders/>
          </w:tcPr>
          <w:p>
            <w:pPr>
              <w:pStyle w:val="TableContents"/>
              <w:suppressLineNumbers/>
              <w:bidi w:val="0"/>
              <w:ind w:left="43" w:right="43" w:hanging="0"/>
              <w:jc w:val="left"/>
              <w:rPr/>
            </w:pPr>
            <w:r>
              <w:rPr/>
              <w:t>&gt;2C</w:t>
            </w:r>
          </w:p>
        </w:tc>
        <w:tc>
          <w:tcPr>
            <w:tcW w:w="1338" w:type="dxa"/>
            <w:tcBorders/>
          </w:tcPr>
          <w:p>
            <w:pPr>
              <w:pStyle w:val="TableContents"/>
              <w:suppressLineNumbers/>
              <w:bidi w:val="0"/>
              <w:ind w:left="43" w:right="43" w:hanging="0"/>
              <w:jc w:val="left"/>
              <w:rPr/>
            </w:pPr>
            <w:r>
              <w:rPr/>
              <w:t>0.5C</w:t>
            </w:r>
          </w:p>
        </w:tc>
      </w:tr>
      <w:tr>
        <w:trPr/>
        <w:tc>
          <w:tcPr>
            <w:tcW w:w="1337" w:type="dxa"/>
            <w:tcBorders/>
          </w:tcPr>
          <w:p>
            <w:pPr>
              <w:pStyle w:val="TableContents"/>
              <w:suppressLineNumbers/>
              <w:bidi w:val="0"/>
              <w:ind w:left="43" w:right="43" w:hanging="0"/>
              <w:jc w:val="left"/>
              <w:rPr/>
            </w:pPr>
            <w:r>
              <w:rPr/>
              <w:t>Load Current</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(Ideal)</w:t>
            </w:r>
          </w:p>
        </w:tc>
        <w:tc>
          <w:tcPr>
            <w:tcW w:w="1337" w:type="dxa"/>
            <w:tcBorders/>
          </w:tcPr>
          <w:p>
            <w:pPr>
              <w:pStyle w:val="TableContents"/>
              <w:suppressLineNumbers/>
              <w:bidi w:val="0"/>
              <w:ind w:left="43" w:right="43" w:hanging="0"/>
              <w:jc w:val="left"/>
              <w:rPr/>
            </w:pPr>
            <w:r>
              <w:rPr/>
              <w:t>1C</w:t>
            </w:r>
          </w:p>
        </w:tc>
        <w:tc>
          <w:tcPr>
            <w:tcW w:w="1337" w:type="dxa"/>
            <w:tcBorders/>
          </w:tcPr>
          <w:p>
            <w:pPr>
              <w:pStyle w:val="TableContents"/>
              <w:suppressLineNumbers/>
              <w:bidi w:val="0"/>
              <w:ind w:left="43" w:right="43" w:hanging="0"/>
              <w:jc w:val="left"/>
              <w:rPr/>
            </w:pPr>
            <w:r>
              <w:rPr/>
            </w:r>
            <m:oMath xmlns:m="http://schemas.openxmlformats.org/officeDocument/2006/math"/>
            <w:r>
              <w:rPr/>
              <w:t>0.5C</w:t>
            </w:r>
          </w:p>
        </w:tc>
        <w:tc>
          <w:tcPr>
            <w:tcW w:w="1337" w:type="dxa"/>
            <w:tcBorders/>
          </w:tcPr>
          <w:p>
            <w:pPr>
              <w:pStyle w:val="TableContents"/>
              <w:suppressLineNumbers/>
              <w:bidi w:val="0"/>
              <w:ind w:left="43" w:right="43" w:hanging="0"/>
              <w:jc w:val="left"/>
              <w:rPr/>
            </w:pPr>
            <w:r>
              <w:rPr/>
              <w:t>0.2C</w:t>
            </w:r>
          </w:p>
        </w:tc>
        <w:tc>
          <w:tcPr>
            <w:tcW w:w="1337" w:type="dxa"/>
            <w:tcBorders/>
          </w:tcPr>
          <w:p>
            <w:pPr>
              <w:pStyle w:val="TableContents"/>
              <w:suppressLineNumbers/>
              <w:bidi w:val="0"/>
              <w:ind w:left="43" w:right="43" w:hanging="0"/>
              <w:jc w:val="left"/>
              <w:rPr/>
            </w:pPr>
            <w:r>
              <w:rPr/>
            </w:r>
            <m:oMath xmlns:m="http://schemas.openxmlformats.org/officeDocument/2006/math"/>
            <w:r>
              <w:rPr/>
              <w:t>1C</w:t>
            </w:r>
          </w:p>
        </w:tc>
        <w:tc>
          <w:tcPr>
            <w:tcW w:w="1337" w:type="dxa"/>
            <w:tcBorders/>
          </w:tcPr>
          <w:p>
            <w:pPr>
              <w:pStyle w:val="TableContents"/>
              <w:suppressLineNumbers/>
              <w:bidi w:val="0"/>
              <w:ind w:left="43" w:right="43" w:hanging="0"/>
              <w:jc w:val="left"/>
              <w:rPr/>
            </w:pPr>
            <w:r>
              <w:rPr/>
            </w:r>
            <m:oMath xmlns:m="http://schemas.openxmlformats.org/officeDocument/2006/math"/>
            <w:r>
              <w:rPr/>
              <w:t>1C</w:t>
            </w:r>
          </w:p>
        </w:tc>
        <w:tc>
          <w:tcPr>
            <w:tcW w:w="1338" w:type="dxa"/>
            <w:tcBorders/>
          </w:tcPr>
          <w:p>
            <w:pPr>
              <w:pStyle w:val="TableContents"/>
              <w:suppressLineNumbers/>
              <w:bidi w:val="0"/>
              <w:ind w:left="43" w:right="43" w:hanging="0"/>
              <w:jc w:val="left"/>
              <w:rPr/>
            </w:pPr>
            <w:r>
              <w:rPr/>
            </w:r>
            <m:oMath xmlns:m="http://schemas.openxmlformats.org/officeDocument/2006/math"/>
            <w:r>
              <w:rPr/>
              <w:t>0.2C</w:t>
            </w:r>
          </w:p>
        </w:tc>
      </w:tr>
      <w:tr>
        <w:trPr/>
        <w:tc>
          <w:tcPr>
            <w:tcW w:w="1337" w:type="dxa"/>
            <w:tcBorders/>
          </w:tcPr>
          <w:p>
            <w:pPr>
              <w:pStyle w:val="TableContents"/>
              <w:suppressLineNumbers/>
              <w:bidi w:val="0"/>
              <w:ind w:left="43" w:right="43" w:hanging="0"/>
              <w:jc w:val="left"/>
              <w:rPr/>
            </w:pPr>
            <w:r>
              <w:rPr/>
              <w:t>Operating Temperature</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r>
        <w:trPr/>
        <w:tc>
          <w:tcPr>
            <w:tcW w:w="1337" w:type="dxa"/>
            <w:tcBorders/>
          </w:tcPr>
          <w:p>
            <w:pPr>
              <w:pStyle w:val="TableContents"/>
              <w:bidi w:val="0"/>
              <w:jc w:val="left"/>
              <w:rPr>
                <w:b/>
                <w:b/>
                <w:bCs/>
              </w:rPr>
            </w:pPr>
            <w:r>
              <w:rPr>
                <w:b/>
                <w:bCs/>
              </w:rPr>
              <w:t>(discharge only)</w:t>
            </w:r>
          </w:p>
        </w:tc>
        <w:tc>
          <w:tcPr>
            <w:tcW w:w="1337" w:type="dxa"/>
            <w:tcBorders/>
          </w:tcPr>
          <w:p>
            <w:pPr>
              <w:pStyle w:val="TableContents"/>
              <w:suppressLineNumbers/>
              <w:bidi w:val="0"/>
              <w:ind w:left="43" w:right="43" w:hanging="0"/>
              <w:jc w:val="left"/>
              <w:rPr/>
            </w:pPr>
            <w:r>
              <w:rPr/>
              <w:t>- 60°C</w:t>
            </w:r>
          </w:p>
        </w:tc>
        <w:tc>
          <w:tcPr>
            <w:tcW w:w="1337" w:type="dxa"/>
            <w:tcBorders/>
          </w:tcPr>
          <w:p>
            <w:pPr>
              <w:pStyle w:val="TableContents"/>
              <w:suppressLineNumbers/>
              <w:bidi w:val="0"/>
              <w:ind w:left="43" w:right="43" w:hanging="0"/>
              <w:jc w:val="left"/>
              <w:rPr/>
            </w:pPr>
            <w:r>
              <w:rPr/>
              <w:t>- 60°C</w:t>
            </w:r>
          </w:p>
        </w:tc>
        <w:tc>
          <w:tcPr>
            <w:tcW w:w="1337" w:type="dxa"/>
            <w:tcBorders/>
          </w:tcPr>
          <w:p>
            <w:pPr>
              <w:pStyle w:val="TableContents"/>
              <w:suppressLineNumbers/>
              <w:bidi w:val="0"/>
              <w:ind w:left="43" w:right="43" w:hanging="0"/>
              <w:jc w:val="left"/>
              <w:rPr/>
            </w:pPr>
            <w:r>
              <w:rPr/>
              <w:t>- 60°C</w:t>
            </w:r>
          </w:p>
        </w:tc>
        <w:tc>
          <w:tcPr>
            <w:tcW w:w="1337" w:type="dxa"/>
            <w:tcBorders/>
          </w:tcPr>
          <w:p>
            <w:pPr>
              <w:pStyle w:val="TableContents"/>
              <w:suppressLineNumbers/>
              <w:bidi w:val="0"/>
              <w:ind w:left="43" w:right="43" w:hanging="0"/>
              <w:jc w:val="left"/>
              <w:rPr/>
            </w:pPr>
            <w:r>
              <w:rPr/>
              <w:t>- 60°C</w:t>
            </w:r>
          </w:p>
        </w:tc>
        <w:tc>
          <w:tcPr>
            <w:tcW w:w="1337" w:type="dxa"/>
            <w:tcBorders/>
          </w:tcPr>
          <w:p>
            <w:pPr>
              <w:pStyle w:val="TableContents"/>
              <w:suppressLineNumbers/>
              <w:bidi w:val="0"/>
              <w:ind w:left="43" w:right="43" w:hanging="0"/>
              <w:jc w:val="left"/>
              <w:rPr/>
            </w:pPr>
            <w:r>
              <w:rPr/>
              <w:t>- 60°C</w:t>
            </w:r>
          </w:p>
        </w:tc>
        <w:tc>
          <w:tcPr>
            <w:tcW w:w="1338" w:type="dxa"/>
            <w:tcBorders/>
          </w:tcPr>
          <w:p>
            <w:pPr>
              <w:pStyle w:val="TableContents"/>
              <w:suppressLineNumbers/>
              <w:bidi w:val="0"/>
              <w:ind w:left="43" w:right="43" w:hanging="0"/>
              <w:jc w:val="left"/>
              <w:rPr/>
            </w:pPr>
            <w:r>
              <w:rPr/>
              <w:t>- 65°C</w:t>
            </w:r>
          </w:p>
        </w:tc>
      </w:tr>
      <w:tr>
        <w:trPr/>
        <w:tc>
          <w:tcPr>
            <w:tcW w:w="1337" w:type="dxa"/>
            <w:tcBorders/>
          </w:tcPr>
          <w:p>
            <w:pPr>
              <w:pStyle w:val="TableContents"/>
              <w:suppressLineNumbers/>
              <w:bidi w:val="0"/>
              <w:ind w:left="43" w:right="43" w:hanging="0"/>
              <w:jc w:val="left"/>
              <w:rPr/>
            </w:pPr>
            <w:r>
              <w:rPr/>
              <w:t>Commercial Use Since</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7" w:type="dxa"/>
            <w:tcBorders/>
          </w:tcPr>
          <w:p>
            <w:pPr>
              <w:pStyle w:val="TableContents"/>
              <w:suppressLineNumbers/>
              <w:bidi w:val="0"/>
              <w:ind w:left="43" w:right="43" w:hanging="0"/>
              <w:jc w:val="left"/>
              <w:rPr/>
            </w:pPr>
            <w:r>
              <w:rPr/>
              <w:t>(sealed lead acid)</w:t>
            </w:r>
          </w:p>
        </w:tc>
        <w:tc>
          <w:tcPr>
            <w:tcW w:w="1337" w:type="dxa"/>
            <w:tcBorders/>
          </w:tcPr>
          <w:p>
            <w:pPr>
              <w:pStyle w:val="Normal"/>
              <w:bidi w:val="0"/>
              <w:jc w:val="left"/>
              <w:rPr/>
            </w:pPr>
            <w:r>
              <w:rPr/>
            </w:r>
          </w:p>
        </w:tc>
        <w:tc>
          <w:tcPr>
            <w:tcW w:w="1337" w:type="dxa"/>
            <w:tcBorders/>
          </w:tcPr>
          <w:p>
            <w:pPr>
              <w:pStyle w:val="Normal"/>
              <w:bidi w:val="0"/>
              <w:jc w:val="left"/>
              <w:rPr/>
            </w:pPr>
            <w:r>
              <w:rPr/>
            </w:r>
          </w:p>
        </w:tc>
        <w:tc>
          <w:tcPr>
            <w:tcW w:w="1338" w:type="dxa"/>
            <w:tcBorders/>
          </w:tcPr>
          <w:p>
            <w:pPr>
              <w:pStyle w:val="Normal"/>
              <w:bidi w:val="0"/>
              <w:jc w:val="left"/>
              <w:rPr/>
            </w:pPr>
            <w:r>
              <w:rPr/>
            </w:r>
          </w:p>
        </w:tc>
      </w:tr>
    </w:tbl>
    <w:p>
      <w:pPr>
        <w:pStyle w:val="Firstparagraph"/>
        <w:bidi w:val="0"/>
        <w:jc w:val="left"/>
        <w:rPr/>
      </w:pPr>
      <w:r>
        <w:rPr/>
      </w:r>
    </w:p>
    <w:p>
      <w:pPr>
        <w:pStyle w:val="TextBody"/>
        <w:bidi w:val="0"/>
        <w:spacing w:before="86" w:after="86"/>
        <w:jc w:val="left"/>
        <w:rPr/>
      </w:pPr>
      <w:r>
        <w:rPr/>
        <w:t xml:space="preserve">Table </w:t>
      </w:r>
      <w:hyperlink w:anchor="tab:battery-chemistry-stats">
        <w:r>
          <w:rPr>
            <w:rStyle w:val="InternetLink"/>
          </w:rPr>
          <w:t>1</w:t>
        </w:r>
      </w:hyperlink>
      <w:r>
        <w:rPr/>
        <w:t xml:space="preserve"> outlines the relevant characteristics for the most common configurations of rechargeable battery. As can be seen, Lithium-ion technology leads the other solutions in most of the categories. While Nickel-Cadmium has a higher lifespan than Li-ion there are other factors that led to this being discounted. NiCd suffers from the </w:t>
      </w:r>
      <w:r>
        <w:rPr>
          <w:i/>
          <w:iCs/>
        </w:rPr>
        <w:t>memory effect</w:t>
      </w:r>
      <w:r>
        <w:rPr/>
        <w:t xml:space="preserve">, where frequent charge/discharge cycles lead to the battery </w:t>
      </w:r>
      <w:r>
        <w:rPr>
          <w:i/>
          <w:iCs/>
        </w:rPr>
        <w:t>remembering</w:t>
      </w:r>
      <w:r>
        <w:rPr/>
        <w:t xml:space="preserve"> the point at which charging began and experiencing a drop in voltage past this point. Additionally, Cadmium is a highly toxic heavy metal requiring specialist containment; in fact, many types of Cadmium battery are now banned in the EU.</w:t>
      </w:r>
    </w:p>
    <w:p>
      <w:pPr>
        <w:pStyle w:val="TextBody"/>
        <w:bidi w:val="0"/>
        <w:spacing w:before="86" w:after="86"/>
        <w:jc w:val="left"/>
        <w:rPr/>
      </w:pPr>
      <w:r>
        <w:rPr/>
        <w:t>Lithium-ion batteries are a mature domain and one of active research; they are essentially the standard for portable electronics and the growing electric vehicle market.</w:t>
      </w:r>
    </w:p>
    <w:p>
      <w:pPr>
        <w:pStyle w:val="Heading4"/>
        <w:tabs>
          <w:tab w:val="clear" w:pos="709"/>
          <w:tab w:val="left" w:pos="0" w:leader="none"/>
        </w:tabs>
        <w:bidi w:val="0"/>
        <w:ind w:left="0" w:hanging="0"/>
        <w:jc w:val="left"/>
        <w:rPr/>
      </w:pPr>
      <w:bookmarkStart w:id="10" w:name="innovative-solutions"/>
      <w:r>
        <w:rPr/>
        <w:t>Innovative Solutions</w:t>
      </w:r>
      <w:bookmarkEnd w:id="10"/>
    </w:p>
    <w:p>
      <w:pPr>
        <w:pStyle w:val="Firstparagraph"/>
        <w:bidi w:val="0"/>
        <w:jc w:val="left"/>
        <w:rPr/>
      </w:pPr>
      <w:r>
        <w:rPr/>
        <w:t>Traditional rechargeable batteries of varying chemistry are currently the standard for this domain. However, other systems utilising a different technology were also considered.</w:t>
      </w:r>
    </w:p>
    <w:p>
      <w:pPr>
        <w:pStyle w:val="Heading5"/>
        <w:tabs>
          <w:tab w:val="clear" w:pos="709"/>
          <w:tab w:val="left" w:pos="0" w:leader="none"/>
        </w:tabs>
        <w:bidi w:val="0"/>
        <w:ind w:left="0" w:hanging="0"/>
        <w:jc w:val="left"/>
        <w:rPr/>
      </w:pPr>
      <w:bookmarkStart w:id="11" w:name="flow-battery"/>
      <w:r>
        <w:rPr/>
        <w:t>Flow Battery</w:t>
      </w:r>
      <w:bookmarkEnd w:id="11"/>
    </w:p>
    <w:p>
      <w:pPr>
        <w:pStyle w:val="Firstparagraph"/>
        <w:bidi w:val="0"/>
        <w:jc w:val="left"/>
        <w:rPr/>
      </w:pPr>
      <w:r>
        <w:rPr/>
        <w:t>A redox flow battery is a type of electrochemical cell where the energy is stored in two chemicals brought together at a membrane in order to facilitate ion exchange and create a potential difference or voltage.</w:t>
      </w:r>
    </w:p>
    <w:p>
      <w:pPr>
        <w:pStyle w:val="TextBody"/>
        <w:bidi w:val="0"/>
        <w:spacing w:before="86" w:after="86"/>
        <w:jc w:val="left"/>
        <w:rPr/>
      </w:pPr>
      <w:r>
        <w:rPr/>
        <w:t>This can be structured to function like a rechargeable battery as the chemical reaction is reversible.</w:t>
      </w:r>
    </w:p>
    <w:p>
      <w:pPr>
        <w:pStyle w:val="TextBody"/>
        <w:bidi w:val="0"/>
        <w:spacing w:before="86" w:after="86"/>
        <w:jc w:val="left"/>
        <w:rPr/>
      </w:pPr>
      <w:r>
        <w:rPr/>
        <w:t>There are a number of advantages to a system like this, for example it is less sensitive than Lithium-ion to overcharge and overdischarge with no need for equalisation charging.</w:t>
      </w:r>
    </w:p>
    <w:p>
      <w:pPr>
        <w:pStyle w:val="Normal"/>
        <w:bidi w:val="0"/>
        <w:jc w:val="left"/>
        <w:rPr/>
      </w:pPr>
      <w:r>
        <w:rPr/>
        <w:t>Energy and power densities for typical redox flow battery chemistry (top) compared to traditional rechargeable cells (bottom), [tab:flow-battery-energy-density]</w:t>
      </w:r>
    </w:p>
    <w:tbl>
      <w:tblPr>
        <w:tblW w:w="9360" w:type="dxa"/>
        <w:jc w:val="left"/>
        <w:tblInd w:w="0" w:type="dxa"/>
        <w:tblLayout w:type="fixed"/>
        <w:tblCellMar>
          <w:top w:w="0" w:type="dxa"/>
          <w:left w:w="0" w:type="dxa"/>
          <w:bottom w:w="0" w:type="dxa"/>
          <w:right w:w="0" w:type="dxa"/>
        </w:tblCellMar>
      </w:tblPr>
      <w:tblGrid>
        <w:gridCol w:w="3120"/>
        <w:gridCol w:w="3120"/>
        <w:gridCol w:w="3120"/>
      </w:tblGrid>
      <w:tr>
        <w:trPr>
          <w:tblHeader w:val="true"/>
        </w:trPr>
        <w:tc>
          <w:tcPr>
            <w:tcW w:w="3120" w:type="dxa"/>
            <w:tcBorders/>
          </w:tcPr>
          <w:p>
            <w:pPr>
              <w:pStyle w:val="Normal"/>
              <w:bidi w:val="0"/>
              <w:jc w:val="left"/>
              <w:rPr/>
            </w:pPr>
            <w:r>
              <w:rPr/>
            </w:r>
          </w:p>
        </w:tc>
        <w:tc>
          <w:tcPr>
            <w:tcW w:w="3120" w:type="dxa"/>
            <w:tcBorders/>
          </w:tcPr>
          <w:p>
            <w:pPr>
              <w:pStyle w:val="TableHeading"/>
              <w:bidi w:val="0"/>
              <w:jc w:val="center"/>
              <w:rPr/>
            </w:pPr>
            <w:r>
              <w:rPr/>
              <w:t>Energy Density (WhL</w:t>
            </w:r>
            <w:r>
              <w:rPr>
                <w:vertAlign w:val="superscript"/>
              </w:rPr>
              <w:t>-1</w:t>
            </w:r>
            <w:r>
              <w:rPr/>
              <w:t>)</w:t>
            </w:r>
          </w:p>
        </w:tc>
        <w:tc>
          <w:tcPr>
            <w:tcW w:w="3120" w:type="dxa"/>
            <w:tcBorders/>
          </w:tcPr>
          <w:p>
            <w:pPr>
              <w:pStyle w:val="TableHeading"/>
              <w:bidi w:val="0"/>
              <w:jc w:val="center"/>
              <w:rPr/>
            </w:pPr>
            <w:r>
              <w:rPr/>
              <w:t>Power Density (WL</w:t>
            </w:r>
            <w:r>
              <w:rPr>
                <w:vertAlign w:val="superscript"/>
              </w:rPr>
              <w:t>-1</w:t>
            </w:r>
            <w:r>
              <w:rPr/>
              <w:t>)</w:t>
            </w:r>
          </w:p>
        </w:tc>
      </w:tr>
      <w:tr>
        <w:trPr/>
        <w:tc>
          <w:tcPr>
            <w:tcW w:w="3120" w:type="dxa"/>
            <w:tcBorders/>
          </w:tcPr>
          <w:p>
            <w:pPr>
              <w:pStyle w:val="TableContents"/>
              <w:bidi w:val="0"/>
              <w:jc w:val="center"/>
              <w:rPr/>
            </w:pPr>
            <w:r>
              <w:rPr/>
              <w:t>Bromine-polysulphide</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60</w:t>
            </w:r>
          </w:p>
        </w:tc>
      </w:tr>
      <w:tr>
        <w:trPr/>
        <w:tc>
          <w:tcPr>
            <w:tcW w:w="3120" w:type="dxa"/>
            <w:tcBorders/>
          </w:tcPr>
          <w:p>
            <w:pPr>
              <w:pStyle w:val="TableContents"/>
              <w:bidi w:val="0"/>
              <w:jc w:val="center"/>
              <w:rPr/>
            </w:pPr>
            <w:r>
              <w:rPr/>
              <w:t>Vanadium-vanadium</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60 - 100</w:t>
            </w:r>
          </w:p>
        </w:tc>
      </w:tr>
      <w:tr>
        <w:trPr/>
        <w:tc>
          <w:tcPr>
            <w:tcW w:w="3120" w:type="dxa"/>
            <w:tcBorders/>
          </w:tcPr>
          <w:p>
            <w:pPr>
              <w:pStyle w:val="TableContents"/>
              <w:bidi w:val="0"/>
              <w:jc w:val="center"/>
              <w:rPr/>
            </w:pPr>
            <w:r>
              <w:rPr/>
              <w:t>Iron-chromium</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6</w:t>
            </w:r>
          </w:p>
        </w:tc>
      </w:tr>
      <w:tr>
        <w:trPr/>
        <w:tc>
          <w:tcPr>
            <w:tcW w:w="3120" w:type="dxa"/>
            <w:tcBorders/>
          </w:tcPr>
          <w:p>
            <w:pPr>
              <w:pStyle w:val="TableContents"/>
              <w:bidi w:val="0"/>
              <w:jc w:val="center"/>
              <w:rPr/>
            </w:pPr>
            <w:r>
              <w:rPr/>
              <w:t>Vanadium-bromine</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50</w:t>
            </w:r>
          </w:p>
        </w:tc>
      </w:tr>
      <w:tr>
        <w:trPr/>
        <w:tc>
          <w:tcPr>
            <w:tcW w:w="3120" w:type="dxa"/>
            <w:tcBorders/>
          </w:tcPr>
          <w:p>
            <w:pPr>
              <w:pStyle w:val="TableContents"/>
              <w:bidi w:val="0"/>
              <w:jc w:val="center"/>
              <w:rPr/>
            </w:pPr>
            <w:r>
              <w:rPr/>
              <w:t>Zinc-/bromine</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40</w:t>
            </w:r>
          </w:p>
        </w:tc>
      </w:tr>
      <w:tr>
        <w:trPr/>
        <w:tc>
          <w:tcPr>
            <w:tcW w:w="3120" w:type="dxa"/>
            <w:tcBorders/>
          </w:tcPr>
          <w:p>
            <w:pPr>
              <w:pStyle w:val="TableContents"/>
              <w:bidi w:val="0"/>
              <w:jc w:val="center"/>
              <w:rPr/>
            </w:pPr>
            <w:r>
              <w:rPr/>
              <w:t>Zinc-cerium</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50</w:t>
            </w:r>
          </w:p>
        </w:tc>
      </w:tr>
      <w:tr>
        <w:trPr/>
        <w:tc>
          <w:tcPr>
            <w:tcW w:w="3120" w:type="dxa"/>
            <w:tcBorders/>
          </w:tcPr>
          <w:p>
            <w:pPr>
              <w:pStyle w:val="TableContents"/>
              <w:bidi w:val="0"/>
              <w:jc w:val="center"/>
              <w:rPr/>
            </w:pPr>
            <w:r>
              <w:rPr/>
              <w:t>Soluble lead-acid</w:t>
            </w:r>
          </w:p>
        </w:tc>
        <w:tc>
          <w:tcPr>
            <w:tcW w:w="3120" w:type="dxa"/>
            <w:tcBorders/>
          </w:tcPr>
          <w:p>
            <w:pPr>
              <w:pStyle w:val="TableContents"/>
              <w:bidi w:val="0"/>
              <w:jc w:val="center"/>
              <w:rPr/>
            </w:pPr>
            <w:r>
              <w:rPr/>
              <w:t>20 - 35</w:t>
            </w:r>
          </w:p>
        </w:tc>
        <w:tc>
          <w:tcPr>
            <w:tcW w:w="3120" w:type="dxa"/>
            <w:tcBorders/>
          </w:tcPr>
          <w:p>
            <w:pPr>
              <w:pStyle w:val="TableContents"/>
              <w:bidi w:val="0"/>
              <w:jc w:val="center"/>
              <w:rPr/>
            </w:pPr>
            <w:r>
              <w:rPr/>
              <w:t>25</w:t>
            </w:r>
          </w:p>
        </w:tc>
      </w:tr>
      <w:tr>
        <w:trPr/>
        <w:tc>
          <w:tcPr>
            <w:tcW w:w="3120" w:type="dxa"/>
            <w:tcBorders/>
          </w:tcPr>
          <w:p>
            <w:pPr>
              <w:pStyle w:val="TableContents"/>
              <w:bidi w:val="0"/>
              <w:jc w:val="center"/>
              <w:rPr/>
            </w:pPr>
            <w:r>
              <w:rPr/>
              <w:t>Conventional lead-acid</w:t>
            </w:r>
          </w:p>
        </w:tc>
        <w:tc>
          <w:tcPr>
            <w:tcW w:w="3120" w:type="dxa"/>
            <w:tcBorders/>
          </w:tcPr>
          <w:p>
            <w:pPr>
              <w:pStyle w:val="TableContents"/>
              <w:bidi w:val="0"/>
              <w:jc w:val="center"/>
              <w:rPr/>
            </w:pPr>
            <w:r>
              <w:rPr/>
              <w:t>60 - 80</w:t>
            </w:r>
          </w:p>
        </w:tc>
        <w:tc>
          <w:tcPr>
            <w:tcW w:w="3120" w:type="dxa"/>
            <w:tcBorders/>
          </w:tcPr>
          <w:p>
            <w:pPr>
              <w:pStyle w:val="TableContents"/>
              <w:bidi w:val="0"/>
              <w:jc w:val="center"/>
              <w:rPr/>
            </w:pPr>
            <w:r>
              <w:rPr/>
              <w:t>230</w:t>
            </w:r>
          </w:p>
        </w:tc>
      </w:tr>
      <w:tr>
        <w:trPr/>
        <w:tc>
          <w:tcPr>
            <w:tcW w:w="3120" w:type="dxa"/>
            <w:tcBorders/>
          </w:tcPr>
          <w:p>
            <w:pPr>
              <w:pStyle w:val="TableContents"/>
              <w:bidi w:val="0"/>
              <w:jc w:val="center"/>
              <w:rPr/>
            </w:pPr>
            <w:r>
              <w:rPr/>
              <w:t>Lithium-ion</w:t>
            </w:r>
          </w:p>
        </w:tc>
        <w:tc>
          <w:tcPr>
            <w:tcW w:w="3120" w:type="dxa"/>
            <w:tcBorders/>
          </w:tcPr>
          <w:p>
            <w:pPr>
              <w:pStyle w:val="TableContents"/>
              <w:bidi w:val="0"/>
              <w:jc w:val="center"/>
              <w:rPr/>
            </w:pPr>
            <w:r>
              <w:rPr/>
              <w:t>150 - 200</w:t>
            </w:r>
          </w:p>
        </w:tc>
        <w:tc>
          <w:tcPr>
            <w:tcW w:w="3120" w:type="dxa"/>
            <w:tcBorders/>
          </w:tcPr>
          <w:p>
            <w:pPr>
              <w:pStyle w:val="TableContents"/>
              <w:bidi w:val="0"/>
              <w:jc w:val="center"/>
              <w:rPr/>
            </w:pPr>
            <w:r>
              <w:rPr/>
              <w:t>275</w:t>
            </w:r>
          </w:p>
        </w:tc>
      </w:tr>
      <w:tr>
        <w:trPr/>
        <w:tc>
          <w:tcPr>
            <w:tcW w:w="3120" w:type="dxa"/>
            <w:tcBorders/>
          </w:tcPr>
          <w:p>
            <w:pPr>
              <w:pStyle w:val="TableContents"/>
              <w:bidi w:val="0"/>
              <w:jc w:val="center"/>
              <w:rPr/>
            </w:pPr>
            <w:r>
              <w:rPr/>
              <w:t>Nickel-metal-hydride</w:t>
            </w:r>
          </w:p>
        </w:tc>
        <w:tc>
          <w:tcPr>
            <w:tcW w:w="3120" w:type="dxa"/>
            <w:tcBorders/>
          </w:tcPr>
          <w:p>
            <w:pPr>
              <w:pStyle w:val="TableContents"/>
              <w:bidi w:val="0"/>
              <w:jc w:val="center"/>
              <w:rPr/>
            </w:pPr>
            <w:r>
              <w:rPr/>
              <w:t>100 - 150</w:t>
            </w:r>
          </w:p>
        </w:tc>
        <w:tc>
          <w:tcPr>
            <w:tcW w:w="3120" w:type="dxa"/>
            <w:tcBorders/>
          </w:tcPr>
          <w:p>
            <w:pPr>
              <w:pStyle w:val="TableContents"/>
              <w:bidi w:val="0"/>
              <w:jc w:val="center"/>
              <w:rPr/>
            </w:pPr>
            <w:r>
              <w:rPr/>
              <w:t>330</w:t>
            </w:r>
          </w:p>
        </w:tc>
      </w:tr>
    </w:tbl>
    <w:p>
      <w:pPr>
        <w:pStyle w:val="Firstparagraph"/>
        <w:bidi w:val="0"/>
        <w:jc w:val="left"/>
        <w:rPr/>
      </w:pPr>
      <w:r>
        <w:rPr/>
        <w:t xml:space="preserve">The main disadvantage relevant to the required applications is the required space and incurred weight. Flow batteries typically have a much lower energy and power density than traditional rechargeable batteries, a comparison of values for various structures can be seen in table </w:t>
      </w:r>
      <w:hyperlink w:anchor="tab:flow-battery-energy-density">
        <w:r>
          <w:rPr>
            <w:rStyle w:val="InternetLink"/>
          </w:rPr>
          <w:t>2</w:t>
        </w:r>
      </w:hyperlink>
      <w:r>
        <w:rPr/>
        <w:t>. Both values are critical for our purposes; as a buffer for absorbing possibly large peaks from the propulsion, it is key that a high power can be drawn from the solution. From the presented values, Lithium-ion can provide between about 3 and 7 times as much power draw than redox flow batteries. Looking to energy or capacity density, Li-ion is roughly 4 to 10 times higher.</w:t>
      </w:r>
    </w:p>
    <w:p>
      <w:pPr>
        <w:pStyle w:val="TextBody"/>
        <w:bidi w:val="0"/>
        <w:spacing w:before="86" w:after="86"/>
        <w:jc w:val="left"/>
        <w:rPr/>
      </w:pPr>
      <w:r>
        <w:rPr/>
        <w:t>To achieve the capacity and power requirements defined by the propulsion system, a flow battery would likely need vastly more space and weigh significantly more. The weight penalty would prove the more damaging as this would require more fuel for propulsion and lower the efficiency of the vessel.</w:t>
      </w:r>
    </w:p>
    <w:p>
      <w:pPr>
        <w:pStyle w:val="TextBody"/>
        <w:bidi w:val="0"/>
        <w:spacing w:before="86" w:after="86"/>
        <w:jc w:val="left"/>
        <w:rPr/>
      </w:pPr>
      <w:r>
        <w:rPr/>
        <w:t>Although flow batteries have found applications in large-capacity applications including grid services from load balancing to peak shaving, these are typically stationary without as much of a volume restriction.</w:t>
      </w:r>
    </w:p>
    <w:p>
      <w:pPr>
        <w:pStyle w:val="Heading5"/>
        <w:tabs>
          <w:tab w:val="clear" w:pos="709"/>
          <w:tab w:val="left" w:pos="0" w:leader="none"/>
        </w:tabs>
        <w:bidi w:val="0"/>
        <w:ind w:left="0" w:hanging="0"/>
        <w:jc w:val="left"/>
        <w:rPr/>
      </w:pPr>
      <w:bookmarkStart w:id="12" w:name="solid-state"/>
      <w:r>
        <w:rPr/>
        <w:t>Solid-State</w:t>
      </w:r>
      <w:bookmarkEnd w:id="12"/>
    </w:p>
    <w:p>
      <w:pPr>
        <w:pStyle w:val="Firstparagraph"/>
        <w:bidi w:val="0"/>
        <w:jc w:val="left"/>
        <w:rPr/>
      </w:pPr>
      <w:r>
        <w:rPr/>
        <w:t>The previously described traditional rechargeable batteries have a liquid electrolyte in which the electrodes are submerged. This solution allows ions to pass between the electrodes during charge and discharge. Systems in which this liquid electrolyte is instead a solid are called solid-state batteries (SSB). This provides an advantage in that these liquid electrolytes are typically one of the key causes of safety concerns as they are flammable and sometimes toxic. These are important considerations for this domain. With less of a concern regarding high operating temperatures, this also allows SSBs to be charged faster.</w:t>
      </w:r>
    </w:p>
    <w:p>
      <w:pPr>
        <w:pStyle w:val="TextBody"/>
        <w:bidi w:val="0"/>
        <w:spacing w:before="86" w:after="86"/>
        <w:jc w:val="left"/>
        <w:rPr/>
      </w:pPr>
      <w:r>
        <w:rPr/>
        <w:t>Additionally the system has the opportunity to increase energy density, thereby reducing the required space while increasing the available capacity.</w:t>
      </w:r>
    </w:p>
    <w:p>
      <w:pPr>
        <w:pStyle w:val="TextBody"/>
        <w:bidi w:val="0"/>
        <w:spacing w:before="86" w:after="86"/>
        <w:jc w:val="left"/>
        <w:rPr/>
      </w:pPr>
      <w:r>
        <w:rPr/>
        <w:t>Unfortunately, however, there are a number of considerations that, currently, make it unsuitable for the required applications. As an active area of research without much commercial availability, the price of solid-state batteries is much higher than that of other formats, for comparison, the . Additionally, concerns associated with Lithium-ion batteries including overheating and explosion are not completely removed by transitioning to an SSB. Dendrites are structures of Lithium that can form during charging and discharging as a result of electrodeposition. While this should occur evenly across the electrode, if uneven it can cause columns to grow towards the separator. As these grow they can penetrate through this separator and make contact with the cathode. This will cause a short circuit, rapidly increasing heat and potentially causing fire and explosion.</w:t>
      </w:r>
    </w:p>
    <w:p>
      <w:pPr>
        <w:pStyle w:val="FigureWithCaption"/>
        <w:keepNext w:val="true"/>
        <w:suppressLineNumbers/>
        <w:bidi w:val="0"/>
        <w:jc w:val="left"/>
        <w:rPr/>
      </w:pPr>
      <w:r>
        <w:rPr/>
        <w:drawing>
          <wp:inline distT="0" distB="0" distL="0" distR="0">
            <wp:extent cx="4231005" cy="2367280"/>
            <wp:effectExtent l="0" t="0" r="0" b="0"/>
            <wp:docPr id="4" name="img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4" descr=""/>
                    <pic:cNvPicPr>
                      <a:picLocks noChangeAspect="1" noChangeArrowheads="1"/>
                    </pic:cNvPicPr>
                  </pic:nvPicPr>
                  <pic:blipFill>
                    <a:blip r:embed="rId5"/>
                    <a:stretch>
                      <a:fillRect/>
                    </a:stretch>
                  </pic:blipFill>
                  <pic:spPr bwMode="auto">
                    <a:xfrm>
                      <a:off x="0" y="0"/>
                      <a:ext cx="4231005" cy="2367280"/>
                    </a:xfrm>
                    <a:prstGeom prst="rect">
                      <a:avLst/>
                    </a:prstGeom>
                  </pic:spPr>
                </pic:pic>
              </a:graphicData>
            </a:graphic>
          </wp:inline>
        </w:drawing>
      </w:r>
    </w:p>
    <w:p>
      <w:pPr>
        <w:pStyle w:val="FigureCaption"/>
        <w:bidi w:val="0"/>
        <w:jc w:val="left"/>
        <w:rPr/>
      </w:pPr>
      <w:r>
        <w:rPr/>
        <w:t>Dendrites growing between the Lithium battery electrodes, [fig:Dendrites]</w:t>
      </w:r>
    </w:p>
    <w:p>
      <w:pPr>
        <w:pStyle w:val="TextBody"/>
        <w:bidi w:val="0"/>
        <w:spacing w:before="86" w:after="86"/>
        <w:jc w:val="left"/>
        <w:rPr/>
      </w:pPr>
      <w:r>
        <w:rPr/>
        <w:t>summarises four current challenges to scaling up solid-state batteries as investigated by :</w:t>
      </w:r>
    </w:p>
    <w:p>
      <w:pPr>
        <w:pStyle w:val="TextBody"/>
        <w:numPr>
          <w:ilvl w:val="0"/>
          <w:numId w:val="2"/>
        </w:numPr>
        <w:bidi w:val="0"/>
        <w:jc w:val="left"/>
        <w:rPr/>
      </w:pPr>
      <w:r>
        <w:rPr/>
        <w:t>Stability of the electrode-electrolyte interface</w:t>
      </w:r>
    </w:p>
    <w:p>
      <w:pPr>
        <w:pStyle w:val="TextBody"/>
        <w:numPr>
          <w:ilvl w:val="0"/>
          <w:numId w:val="2"/>
        </w:numPr>
        <w:bidi w:val="0"/>
        <w:jc w:val="left"/>
        <w:rPr/>
      </w:pPr>
      <w:r>
        <w:rPr/>
        <w:t>Characterising and analysing this interface in a now opaque structure</w:t>
      </w:r>
    </w:p>
    <w:p>
      <w:pPr>
        <w:pStyle w:val="TextBody"/>
        <w:numPr>
          <w:ilvl w:val="0"/>
          <w:numId w:val="2"/>
        </w:numPr>
        <w:bidi w:val="0"/>
        <w:jc w:val="left"/>
        <w:rPr/>
      </w:pPr>
      <w:r>
        <w:rPr/>
        <w:t>Sustainable manufacturing processes</w:t>
      </w:r>
    </w:p>
    <w:p>
      <w:pPr>
        <w:pStyle w:val="TextBody"/>
        <w:numPr>
          <w:ilvl w:val="0"/>
          <w:numId w:val="2"/>
        </w:numPr>
        <w:bidi w:val="0"/>
        <w:jc w:val="left"/>
        <w:rPr/>
      </w:pPr>
      <w:r>
        <w:rPr/>
        <w:t>Designing for recyclability</w:t>
      </w:r>
    </w:p>
    <w:p>
      <w:pPr>
        <w:pStyle w:val="Firstparagraph"/>
        <w:bidi w:val="0"/>
        <w:jc w:val="left"/>
        <w:rPr/>
      </w:pPr>
      <w:r>
        <w:rPr/>
        <w:t>These last two are critical for the project objectives. With these considerations it is suggested that solid-state batteries will not be ready at the time of construction to supply the scale of storage array required.</w:t>
      </w:r>
    </w:p>
    <w:p>
      <w:pPr>
        <w:pStyle w:val="Heading4"/>
        <w:tabs>
          <w:tab w:val="clear" w:pos="709"/>
          <w:tab w:val="left" w:pos="0" w:leader="none"/>
        </w:tabs>
        <w:bidi w:val="0"/>
        <w:ind w:left="0" w:hanging="0"/>
        <w:jc w:val="left"/>
        <w:rPr/>
      </w:pPr>
      <w:bookmarkStart w:id="13" w:name="proposed-solutionsubsecproposed-uuv-batt"/>
      <w:r>
        <w:rPr/>
        <w:t>Proposed Solution[subsec:Proposed-UUV-Battery-Solution]</w:t>
      </w:r>
      <w:bookmarkEnd w:id="13"/>
    </w:p>
    <w:p>
      <w:pPr>
        <w:pStyle w:val="Firstparagraph"/>
        <w:bidi w:val="0"/>
        <w:jc w:val="left"/>
        <w:rPr/>
      </w:pPr>
      <w:r>
        <w:rPr/>
        <w:t>For this project, Lithium-ion chemistry was proposed as a solution for a vessel energy storage solution. As previously mentioned, the domain is an area of fervent research as a result of it’s critical importance to consumer electronics and electric vehicles. An important factor in the decision is the scale of system required, this will have significant impacts on the ability to source and dispose of a system as well as the financial and safety implications.</w:t>
      </w:r>
    </w:p>
    <w:p>
      <w:pPr>
        <w:pStyle w:val="TextBody"/>
        <w:bidi w:val="0"/>
        <w:spacing w:before="86" w:after="86"/>
        <w:jc w:val="left"/>
        <w:rPr/>
      </w:pPr>
      <w:r>
        <w:rPr/>
        <w:t>There are many standard Lithium-ion standard cell formats from flat pouches and prismatic cells designed for mobile phones to the more standard cylindrical cells. For these applications, cylindrical cells are a suitable choice where compactness and thinness are not critical design parameters.</w:t>
      </w:r>
    </w:p>
    <w:p>
      <w:pPr>
        <w:pStyle w:val="TextBody"/>
        <w:bidi w:val="0"/>
        <w:spacing w:before="86" w:after="86"/>
        <w:jc w:val="left"/>
        <w:rPr/>
      </w:pPr>
      <w:r>
        <w:rPr/>
        <w:t>The 18650 cell is a mature cylindrical cell with good reliability records and high rates of use among medical equipment, drones and electric vehicles; Tesla uses battery packs composed of 18650 cells.</w:t>
      </w:r>
    </w:p>
    <w:p>
      <w:pPr>
        <w:pStyle w:val="TextBody"/>
        <w:bidi w:val="0"/>
        <w:spacing w:before="86" w:after="86"/>
        <w:jc w:val="left"/>
        <w:rPr/>
      </w:pPr>
      <w:r>
        <w:rPr/>
        <w:t>As with other battery cells, the voltage is a characteristic of the chemistry, for Lithium this is around 3.6 V. The key parameters that vary amongst producers are the capacity and charge/discharge C-rates. In order to estimate the cell specification for use in this project, the existing range of available cells was taken into account. Typical, mid-range 18650 cells can vary between 2500 - 3000 mAh capacity; the highest energy density can currently extend this to 3500 - 3600 mAh. As technology improves, it is expected that by the point of construction this higher range will be more accessible and reliable, as such 3500 mAh is used as the cell capacity for further calculations.</w:t>
      </w:r>
    </w:p>
    <w:p>
      <w:pPr>
        <w:pStyle w:val="TextBody"/>
        <w:bidi w:val="0"/>
        <w:spacing w:before="86" w:after="86"/>
        <w:jc w:val="left"/>
        <w:rPr/>
      </w:pPr>
      <w:r>
        <w:rPr/>
        <w:t xml:space="preserve">The 18650 cell specifications being used herein are described in table </w:t>
      </w:r>
      <w:hyperlink w:anchor="tab:18650-specs">
        <w:r>
          <w:rPr>
            <w:rStyle w:val="InternetLink"/>
          </w:rPr>
          <w:t>3</w:t>
        </w:r>
      </w:hyperlink>
      <w:r>
        <w:rPr/>
        <w:t>.</w:t>
      </w:r>
    </w:p>
    <w:p>
      <w:pPr>
        <w:pStyle w:val="Normal"/>
        <w:bidi w:val="0"/>
        <w:jc w:val="left"/>
        <w:rPr/>
      </w:pPr>
      <w:r>
        <w:rPr/>
        <w:t>General specifications for 18650 Lithium-ion cells[tab:18650-specs]</w:t>
      </w:r>
    </w:p>
    <w:tbl>
      <w:tblPr>
        <w:tblW w:w="9360" w:type="dxa"/>
        <w:jc w:val="left"/>
        <w:tblInd w:w="0" w:type="dxa"/>
        <w:tblLayout w:type="fixed"/>
        <w:tblCellMar>
          <w:top w:w="0" w:type="dxa"/>
          <w:left w:w="0" w:type="dxa"/>
          <w:bottom w:w="0" w:type="dxa"/>
          <w:right w:w="0" w:type="dxa"/>
        </w:tblCellMar>
      </w:tblPr>
      <w:tblGrid>
        <w:gridCol w:w="4679"/>
        <w:gridCol w:w="4681"/>
      </w:tblGrid>
      <w:tr>
        <w:trPr>
          <w:tblHeader w:val="true"/>
        </w:trPr>
        <w:tc>
          <w:tcPr>
            <w:tcW w:w="4679" w:type="dxa"/>
            <w:tcBorders/>
          </w:tcPr>
          <w:p>
            <w:pPr>
              <w:pStyle w:val="Normal"/>
              <w:bidi w:val="0"/>
              <w:jc w:val="left"/>
              <w:rPr/>
            </w:pPr>
            <w:r>
              <w:rPr/>
            </w:r>
          </w:p>
        </w:tc>
        <w:tc>
          <w:tcPr>
            <w:tcW w:w="4681" w:type="dxa"/>
            <w:tcBorders/>
          </w:tcPr>
          <w:p>
            <w:pPr>
              <w:pStyle w:val="TableHeading"/>
              <w:bidi w:val="0"/>
              <w:jc w:val="center"/>
              <w:rPr>
                <w:b/>
                <w:b/>
                <w:bCs/>
              </w:rPr>
            </w:pPr>
            <w:r>
              <w:rPr>
                <w:b/>
                <w:bCs/>
              </w:rPr>
              <w:t>18650 Cell</w:t>
            </w:r>
          </w:p>
        </w:tc>
      </w:tr>
      <w:tr>
        <w:trPr/>
        <w:tc>
          <w:tcPr>
            <w:tcW w:w="4679" w:type="dxa"/>
            <w:tcBorders/>
          </w:tcPr>
          <w:p>
            <w:pPr>
              <w:pStyle w:val="TableContents"/>
              <w:bidi w:val="0"/>
              <w:jc w:val="center"/>
              <w:rPr/>
            </w:pPr>
            <w:r>
              <w:rPr/>
              <w:t>Voltage, (</w:t>
            </w:r>
            <w:r>
              <w:rPr/>
            </w:r>
            <m:oMath xmlns:m="http://schemas.openxmlformats.org/officeDocument/2006/math">
              <m:r>
                <w:rPr>
                  <w:rFonts w:ascii="Cambria Math" w:hAnsi="Cambria Math"/>
                </w:rPr>
                <m:t xml:space="preserve">V</m:t>
              </m:r>
            </m:oMath>
            <w:r>
              <w:rPr/>
              <w:t>)</w:t>
            </w:r>
          </w:p>
        </w:tc>
        <w:tc>
          <w:tcPr>
            <w:tcW w:w="4681" w:type="dxa"/>
            <w:tcBorders/>
          </w:tcPr>
          <w:p>
            <w:pPr>
              <w:pStyle w:val="TableContents"/>
              <w:bidi w:val="0"/>
              <w:jc w:val="center"/>
              <w:rPr/>
            </w:pPr>
            <w:r>
              <w:rPr/>
              <w:t>3.6</w:t>
            </w:r>
          </w:p>
        </w:tc>
      </w:tr>
      <w:tr>
        <w:trPr/>
        <w:tc>
          <w:tcPr>
            <w:tcW w:w="4679" w:type="dxa"/>
            <w:tcBorders/>
          </w:tcPr>
          <w:p>
            <w:pPr>
              <w:pStyle w:val="TableContents"/>
              <w:bidi w:val="0"/>
              <w:jc w:val="center"/>
              <w:rPr/>
            </w:pPr>
            <w:r>
              <w:rPr/>
              <w:t>Capacity, (</w:t>
            </w:r>
            <w:r>
              <w:rPr/>
            </w:r>
            <m:oMath xmlns:m="http://schemas.openxmlformats.org/officeDocument/2006/math">
              <m:r>
                <w:rPr>
                  <w:rFonts w:ascii="Cambria Math" w:hAnsi="Cambria Math"/>
                </w:rPr>
                <m:t xml:space="preserve">m</m:t>
              </m:r>
              <m:r>
                <w:rPr>
                  <w:rFonts w:ascii="Cambria Math" w:hAnsi="Cambria Math"/>
                </w:rPr>
                <m:t xml:space="preserve">A</m:t>
              </m:r>
              <m:r>
                <w:rPr>
                  <w:rFonts w:ascii="Cambria Math" w:hAnsi="Cambria Math"/>
                </w:rPr>
                <m:t xml:space="preserve">h</m:t>
              </m:r>
            </m:oMath>
            <w:r>
              <w:rPr/>
              <w:t>)</w:t>
            </w:r>
          </w:p>
        </w:tc>
        <w:tc>
          <w:tcPr>
            <w:tcW w:w="4681" w:type="dxa"/>
            <w:tcBorders/>
          </w:tcPr>
          <w:p>
            <w:pPr>
              <w:pStyle w:val="TableContents"/>
              <w:bidi w:val="0"/>
              <w:jc w:val="center"/>
              <w:rPr/>
            </w:pPr>
            <w:r>
              <w:rPr/>
              <w:t>3500</w:t>
            </w:r>
          </w:p>
        </w:tc>
      </w:tr>
      <w:tr>
        <w:trPr/>
        <w:tc>
          <w:tcPr>
            <w:tcW w:w="4679" w:type="dxa"/>
            <w:tcBorders/>
          </w:tcPr>
          <w:p>
            <w:pPr>
              <w:pStyle w:val="TableContents"/>
              <w:bidi w:val="0"/>
              <w:jc w:val="center"/>
              <w:rPr/>
            </w:pPr>
            <w:r>
              <w:rPr/>
              <w:t>Ideal Discharge C-Rate, (</w:t>
            </w:r>
            <w:r>
              <w:rPr/>
            </w:r>
            <m:oMath xmlns:m="http://schemas.openxmlformats.org/officeDocument/2006/math">
              <m:sSup>
                <m:e>
                  <m:r>
                    <w:rPr>
                      <w:rFonts w:ascii="Cambria Math" w:hAnsi="Cambria Math"/>
                    </w:rPr>
                    <m:t xml:space="preserve">h</m:t>
                  </m:r>
                </m:e>
                <m:sup>
                  <m:r>
                    <w:rPr>
                      <w:rFonts w:ascii="Cambria Math" w:hAnsi="Cambria Math"/>
                    </w:rPr>
                    <m:t xml:space="preserve">−</m:t>
                  </m:r>
                  <m:r>
                    <w:rPr>
                      <w:rFonts w:ascii="Cambria Math" w:hAnsi="Cambria Math"/>
                    </w:rPr>
                    <m:t xml:space="preserve">1</m:t>
                  </m:r>
                </m:sup>
              </m:sSup>
            </m:oMath>
            <w:r>
              <w:rPr/>
              <w:t>)</w:t>
            </w:r>
          </w:p>
        </w:tc>
        <w:tc>
          <w:tcPr>
            <w:tcW w:w="4681" w:type="dxa"/>
            <w:tcBorders/>
          </w:tcPr>
          <w:p>
            <w:pPr>
              <w:pStyle w:val="TableContents"/>
              <w:bidi w:val="0"/>
              <w:jc w:val="center"/>
              <w:rPr/>
            </w:pPr>
            <w:r>
              <w:rPr/>
              <w:t>1</w:t>
            </w:r>
          </w:p>
        </w:tc>
      </w:tr>
      <w:tr>
        <w:trPr/>
        <w:tc>
          <w:tcPr>
            <w:tcW w:w="4679" w:type="dxa"/>
            <w:tcBorders/>
          </w:tcPr>
          <w:p>
            <w:pPr>
              <w:pStyle w:val="TableContents"/>
              <w:bidi w:val="0"/>
              <w:jc w:val="center"/>
              <w:rPr/>
            </w:pPr>
            <w:r>
              <w:rPr/>
              <w:t>Ideal Charge C-Rate, (</w:t>
            </w:r>
            <w:r>
              <w:rPr/>
            </w:r>
            <m:oMath xmlns:m="http://schemas.openxmlformats.org/officeDocument/2006/math">
              <m:sSup>
                <m:e>
                  <m:r>
                    <w:rPr>
                      <w:rFonts w:ascii="Cambria Math" w:hAnsi="Cambria Math"/>
                    </w:rPr>
                    <m:t xml:space="preserve">h</m:t>
                  </m:r>
                </m:e>
                <m:sup>
                  <m:r>
                    <w:rPr>
                      <w:rFonts w:ascii="Cambria Math" w:hAnsi="Cambria Math"/>
                    </w:rPr>
                    <m:t xml:space="preserve">−</m:t>
                  </m:r>
                  <m:r>
                    <w:rPr>
                      <w:rFonts w:ascii="Cambria Math" w:hAnsi="Cambria Math"/>
                    </w:rPr>
                    <m:t xml:space="preserve">1</m:t>
                  </m:r>
                </m:sup>
              </m:sSup>
            </m:oMath>
            <w:r>
              <w:rPr/>
              <w:t>)</w:t>
            </w:r>
          </w:p>
        </w:tc>
        <w:tc>
          <w:tcPr>
            <w:tcW w:w="4681" w:type="dxa"/>
            <w:tcBorders/>
          </w:tcPr>
          <w:p>
            <w:pPr>
              <w:pStyle w:val="TableContents"/>
              <w:bidi w:val="0"/>
              <w:jc w:val="center"/>
              <w:rPr/>
            </w:pPr>
            <w:r>
              <w:rPr/>
              <w:t>0.5</w:t>
            </w:r>
          </w:p>
        </w:tc>
      </w:tr>
      <w:tr>
        <w:trPr/>
        <w:tc>
          <w:tcPr>
            <w:tcW w:w="4679" w:type="dxa"/>
            <w:tcBorders/>
          </w:tcPr>
          <w:p>
            <w:pPr>
              <w:pStyle w:val="TableContents"/>
              <w:bidi w:val="0"/>
              <w:jc w:val="center"/>
              <w:rPr/>
            </w:pPr>
            <w:r>
              <w:rPr/>
              <w:t>Weight, (</w:t>
            </w:r>
            <w:r>
              <w:rPr/>
            </w:r>
            <m:oMath xmlns:m="http://schemas.openxmlformats.org/officeDocument/2006/math">
              <m:r>
                <w:rPr>
                  <w:rFonts w:ascii="Cambria Math" w:hAnsi="Cambria Math"/>
                </w:rPr>
                <m:t xml:space="preserve">g</m:t>
              </m:r>
            </m:oMath>
            <w:r>
              <w:rPr/>
              <w:t>)</w:t>
            </w:r>
          </w:p>
        </w:tc>
        <w:tc>
          <w:tcPr>
            <w:tcW w:w="4681" w:type="dxa"/>
            <w:tcBorders/>
          </w:tcPr>
          <w:p>
            <w:pPr>
              <w:pStyle w:val="TableContents"/>
              <w:bidi w:val="0"/>
              <w:jc w:val="center"/>
              <w:rPr/>
            </w:pPr>
            <w:r>
              <w:rPr/>
              <w:t>48</w:t>
            </w:r>
          </w:p>
        </w:tc>
      </w:tr>
    </w:tbl>
    <w:p>
      <w:pPr>
        <w:pStyle w:val="Heading5"/>
        <w:tabs>
          <w:tab w:val="clear" w:pos="709"/>
          <w:tab w:val="left" w:pos="0" w:leader="none"/>
        </w:tabs>
        <w:bidi w:val="0"/>
        <w:ind w:left="0" w:hanging="0"/>
        <w:jc w:val="left"/>
        <w:rPr/>
      </w:pPr>
      <w:bookmarkStart w:id="14" w:name="configuration"/>
      <w:r>
        <w:rPr/>
        <w:t>Configuration</w:t>
      </w:r>
      <w:bookmarkEnd w:id="14"/>
    </w:p>
    <w:p>
      <w:pPr>
        <w:pStyle w:val="Firstparagraph"/>
        <w:bidi w:val="0"/>
        <w:jc w:val="left"/>
        <w:rPr/>
      </w:pPr>
      <w:r>
        <w:rPr/>
        <w:t xml:space="preserve">The amount of required cells for the battery system was calculated using the expected propulsion power requirements in conjunction with the expected generation capabilities of the ammonia fuel cells. The specifics for the calculations can be seen in appendix </w:t>
      </w:r>
      <w:hyperlink w:anchor="sec:Battery-Cell-Calculations">
        <w:r>
          <w:rPr>
            <w:rStyle w:val="InternetLink"/>
          </w:rPr>
          <w:t>[sec:Battery-Cell-Calculations]</w:t>
        </w:r>
      </w:hyperlink>
      <w:r>
        <w:rPr/>
        <w:t>; to summarise, the amount of required cells was calculated from the required power draw of the battery and the characteristics of the 18650 Lithium cell being used. The result was 193,600 cells. These cells are arranged into a matrix of parallel and series blocks, all the series blocks connected in parallel must be of the same length.</w:t>
      </w:r>
    </w:p>
    <w:p>
      <w:pPr>
        <w:pStyle w:val="TextBody"/>
        <w:bidi w:val="0"/>
        <w:spacing w:before="86" w:after="86"/>
        <w:jc w:val="left"/>
        <w:rPr/>
      </w:pPr>
      <w:r>
        <w:rPr/>
        <w:t>The balance of parallel to series blocks is not a critical parameter for the application and can instead be tuned for efficiency; as the drive motors are AC, transformers can be used to select a desired voltage and current from a given power value. For high power applications high voltage is typically preferred to high current which corresponds to a higher weighting of series length.</w:t>
      </w:r>
    </w:p>
    <w:p>
      <w:pPr>
        <w:pStyle w:val="Heading5"/>
        <w:tabs>
          <w:tab w:val="clear" w:pos="709"/>
          <w:tab w:val="left" w:pos="0" w:leader="none"/>
        </w:tabs>
        <w:bidi w:val="0"/>
        <w:ind w:left="0" w:hanging="0"/>
        <w:jc w:val="left"/>
        <w:rPr/>
      </w:pPr>
      <w:bookmarkStart w:id="15" w:name="challenges"/>
      <w:r>
        <w:rPr/>
        <w:t>Challenges</w:t>
      </w:r>
      <w:bookmarkEnd w:id="15"/>
    </w:p>
    <w:p>
      <w:pPr>
        <w:pStyle w:val="Heading6"/>
        <w:tabs>
          <w:tab w:val="clear" w:pos="709"/>
          <w:tab w:val="left" w:pos="0" w:leader="none"/>
        </w:tabs>
        <w:bidi w:val="0"/>
        <w:ind w:left="0" w:hanging="0"/>
        <w:jc w:val="left"/>
        <w:rPr/>
      </w:pPr>
      <w:bookmarkStart w:id="16" w:name="self-discharge"/>
      <w:r>
        <w:rPr/>
        <w:t>Self-discharge</w:t>
      </w:r>
      <w:bookmarkEnd w:id="16"/>
    </w:p>
    <w:p>
      <w:pPr>
        <w:pStyle w:val="Heading6"/>
        <w:tabs>
          <w:tab w:val="clear" w:pos="709"/>
          <w:tab w:val="left" w:pos="0" w:leader="none"/>
        </w:tabs>
        <w:bidi w:val="0"/>
        <w:ind w:left="0" w:hanging="0"/>
        <w:jc w:val="left"/>
        <w:rPr/>
      </w:pPr>
      <w:bookmarkStart w:id="17" w:name="lifespan"/>
      <w:r>
        <w:rPr/>
        <w:t>Lifespan</w:t>
      </w:r>
      <w:bookmarkEnd w:id="17"/>
    </w:p>
    <w:p>
      <w:pPr>
        <w:pStyle w:val="Firstparagraph"/>
        <w:bidi w:val="0"/>
        <w:jc w:val="left"/>
        <w:rPr/>
      </w:pPr>
      <w:r>
        <w:rPr/>
        <w:t>Traditional rechargeable battery cells are a consumable item, the capacity and performance decreases over extended use for a number of reasons including electrode corrosion, reduced porosity or a reduction in Lithium ions as a result of side reactions, .</w:t>
      </w:r>
    </w:p>
    <w:p>
      <w:pPr>
        <w:pStyle w:val="TextBody"/>
        <w:bidi w:val="0"/>
        <w:spacing w:before="86" w:after="86"/>
        <w:jc w:val="left"/>
        <w:rPr/>
      </w:pPr>
      <w:r>
        <w:rPr/>
        <w:t xml:space="preserve">After a period of time defined by the cells beginning to perform below a defined acceptable level, they will require replacement. This poses both financial and environmental implications. As will be discussed in section </w:t>
      </w:r>
      <w:hyperlink w:anchor="subsec:Lifespan">
        <w:r>
          <w:rPr>
            <w:rStyle w:val="InternetLink"/>
          </w:rPr>
          <w:t>[subsec:Lifespan]</w:t>
        </w:r>
      </w:hyperlink>
      <w:r>
        <w:rPr/>
        <w:t xml:space="preserve"> this is a significant amount of money. Additionally, the scale of required cells means that the disposal protocols are critical. Options for such disposal procedures are discussed as part of the life cycle analysis in section </w:t>
      </w:r>
      <w:hyperlink w:anchor="subsec:Life-cycle-Analysis">
        <w:r>
          <w:rPr>
            <w:rStyle w:val="InternetLink"/>
          </w:rPr>
          <w:t>[subsec:Life-cycle-Analysis]</w:t>
        </w:r>
      </w:hyperlink>
      <w:r>
        <w:rPr/>
        <w:t>.</w:t>
      </w:r>
    </w:p>
    <w:p>
      <w:pPr>
        <w:pStyle w:val="Heading6"/>
        <w:tabs>
          <w:tab w:val="clear" w:pos="709"/>
          <w:tab w:val="left" w:pos="0" w:leader="none"/>
        </w:tabs>
        <w:bidi w:val="0"/>
        <w:ind w:left="0" w:hanging="0"/>
        <w:jc w:val="left"/>
        <w:rPr/>
      </w:pPr>
      <w:bookmarkStart w:id="18" w:name="safety"/>
      <w:r>
        <w:rPr/>
        <w:t>Safety</w:t>
      </w:r>
      <w:bookmarkEnd w:id="18"/>
    </w:p>
    <w:p>
      <w:pPr>
        <w:pStyle w:val="Firstparagraph"/>
        <w:bidi w:val="0"/>
        <w:jc w:val="left"/>
        <w:rPr/>
      </w:pPr>
      <w:r>
        <w:rPr/>
        <w:t>Although Lithium-ion batteries are typically safe and stable if stored and used correctly, abuse can cause severe safety issues. As previously mentioned, the liquid organic electrolyte is flammable, this along with the high energy density of Li-ion batteries can lead to thermal runaway and eventually fire if not handled correctly.</w:t>
      </w:r>
    </w:p>
    <w:p>
      <w:pPr>
        <w:pStyle w:val="TextBody"/>
        <w:bidi w:val="0"/>
        <w:spacing w:before="86" w:after="86"/>
        <w:jc w:val="left"/>
        <w:rPr/>
      </w:pPr>
      <w:r>
        <w:rPr/>
        <w:t>There are a couple of causes for such a thermal runaway, these include physical damage, short circuits, overcharging and exposure to high temperature, .</w:t>
      </w:r>
    </w:p>
    <w:p>
      <w:pPr>
        <w:pStyle w:val="TextBody"/>
        <w:bidi w:val="0"/>
        <w:spacing w:before="86" w:after="86"/>
        <w:jc w:val="left"/>
        <w:rPr/>
      </w:pPr>
      <w:r>
        <w:rPr/>
        <w:t>Multiple measures must be implemented to ensure safety, :</w:t>
      </w:r>
    </w:p>
    <w:p>
      <w:pPr>
        <w:pStyle w:val="TextBody"/>
        <w:numPr>
          <w:ilvl w:val="0"/>
          <w:numId w:val="3"/>
        </w:numPr>
        <w:bidi w:val="0"/>
        <w:jc w:val="left"/>
        <w:rPr/>
      </w:pPr>
      <w:r>
        <w:rPr/>
        <w:t>Reputable manufacturers must be used as defects during construction can cause or exacerbate faults.</w:t>
      </w:r>
    </w:p>
    <w:p>
      <w:pPr>
        <w:pStyle w:val="TextBody"/>
        <w:numPr>
          <w:ilvl w:val="0"/>
          <w:numId w:val="3"/>
        </w:numPr>
        <w:bidi w:val="0"/>
        <w:jc w:val="left"/>
        <w:rPr/>
      </w:pPr>
      <w:r>
        <w:rPr/>
        <w:t>The battery system should be located far from combustible materials</w:t>
      </w:r>
    </w:p>
    <w:p>
      <w:pPr>
        <w:pStyle w:val="TextBody"/>
        <w:numPr>
          <w:ilvl w:val="1"/>
          <w:numId w:val="8"/>
        </w:numPr>
        <w:bidi w:val="0"/>
        <w:jc w:val="left"/>
        <w:rPr/>
      </w:pPr>
      <w:r>
        <w:rPr/>
        <w:t>Contextually this would primarily be the fuel cells.</w:t>
      </w:r>
    </w:p>
    <w:p>
      <w:pPr>
        <w:pStyle w:val="TextBody"/>
        <w:numPr>
          <w:ilvl w:val="0"/>
          <w:numId w:val="3"/>
        </w:numPr>
        <w:bidi w:val="0"/>
        <w:jc w:val="left"/>
        <w:rPr/>
      </w:pPr>
      <w:r>
        <w:rPr/>
        <w:t>The cell’s temperature should be monitored and controlled.</w:t>
      </w:r>
    </w:p>
    <w:p>
      <w:pPr>
        <w:pStyle w:val="TextBody"/>
        <w:numPr>
          <w:ilvl w:val="0"/>
          <w:numId w:val="3"/>
        </w:numPr>
        <w:bidi w:val="0"/>
        <w:jc w:val="left"/>
        <w:rPr/>
      </w:pPr>
      <w:r>
        <w:rPr/>
        <w:t>Cells of the same age must be grouped and used together</w:t>
      </w:r>
    </w:p>
    <w:p>
      <w:pPr>
        <w:pStyle w:val="TextBody"/>
        <w:numPr>
          <w:ilvl w:val="0"/>
          <w:numId w:val="3"/>
        </w:numPr>
        <w:bidi w:val="0"/>
        <w:jc w:val="left"/>
        <w:rPr/>
      </w:pPr>
      <w:r>
        <w:rPr/>
        <w:t xml:space="preserve">Cells should be charged intelligently in order to mitigate overcharge and implement equalisation charging, see </w:t>
      </w:r>
      <w:hyperlink w:anchor="subsec:Safety-Circuitry">
        <w:r>
          <w:rPr>
            <w:rStyle w:val="InternetLink"/>
          </w:rPr>
          <w:t>[subsec:Safety-Circuitry]</w:t>
        </w:r>
      </w:hyperlink>
    </w:p>
    <w:p>
      <w:pPr>
        <w:pStyle w:val="TextBody"/>
        <w:numPr>
          <w:ilvl w:val="0"/>
          <w:numId w:val="3"/>
        </w:numPr>
        <w:bidi w:val="0"/>
        <w:jc w:val="left"/>
        <w:rPr/>
      </w:pPr>
      <w:r>
        <w:rPr/>
        <w:t>The battery system should be stored in an water/air-tight container</w:t>
      </w:r>
    </w:p>
    <w:p>
      <w:pPr>
        <w:pStyle w:val="TextBody"/>
        <w:numPr>
          <w:ilvl w:val="0"/>
          <w:numId w:val="3"/>
        </w:numPr>
        <w:bidi w:val="0"/>
        <w:jc w:val="left"/>
        <w:rPr/>
      </w:pPr>
      <w:r>
        <w:rPr/>
        <w:t>This container should be able to safely vent gases</w:t>
      </w:r>
    </w:p>
    <w:p>
      <w:pPr>
        <w:pStyle w:val="TextBody"/>
        <w:numPr>
          <w:ilvl w:val="1"/>
          <w:numId w:val="9"/>
        </w:numPr>
        <w:bidi w:val="0"/>
        <w:jc w:val="left"/>
        <w:rPr/>
      </w:pPr>
      <w:r>
        <w:rPr/>
        <w:t>In the event of an emergency, cells can release toxic gases (CO</w:t>
      </w:r>
      <w:r>
        <w:rPr>
          <w:vertAlign w:val="subscript"/>
        </w:rPr>
        <w:t>2</w:t>
      </w:r>
      <w:r>
        <w:rPr/>
        <w:t>, CO, HF)</w:t>
      </w:r>
    </w:p>
    <w:p>
      <w:pPr>
        <w:pStyle w:val="Firstparagraph"/>
        <w:bidi w:val="0"/>
        <w:jc w:val="left"/>
        <w:rPr/>
      </w:pPr>
      <w:r>
        <w:rPr/>
        <w:t>With regards to the described container, as previously outlined, standard shipping containers will be used. This provides a good base to extend in order to meet the above, i.e. air/water-tight and venting.</w:t>
      </w:r>
    </w:p>
    <w:p>
      <w:pPr>
        <w:pStyle w:val="Heading5"/>
        <w:tabs>
          <w:tab w:val="clear" w:pos="709"/>
          <w:tab w:val="left" w:pos="0" w:leader="none"/>
        </w:tabs>
        <w:bidi w:val="0"/>
        <w:ind w:left="0" w:hanging="0"/>
        <w:jc w:val="left"/>
        <w:rPr/>
      </w:pPr>
      <w:bookmarkStart w:id="19" w:name="charging-safety-circuitrysubsecsafety-ci"/>
      <w:r>
        <w:rPr/>
        <w:t>Charging &amp; Safety Circuitry[subsec:Safety-Circuitry]</w:t>
      </w:r>
      <w:bookmarkEnd w:id="19"/>
    </w:p>
    <w:p>
      <w:pPr>
        <w:pStyle w:val="Firstparagraph"/>
        <w:bidi w:val="0"/>
        <w:jc w:val="left"/>
        <w:rPr/>
      </w:pPr>
      <w:r>
        <w:rPr/>
        <w:t>As previously described, Lithium-ion cells are sensitive to stressful electrical conditions such as overcharging, deep discharging and excessive current draw.</w:t>
      </w:r>
    </w:p>
    <w:p>
      <w:pPr>
        <w:pStyle w:val="TextBody"/>
        <w:bidi w:val="0"/>
        <w:spacing w:before="86" w:after="86"/>
        <w:jc w:val="left"/>
        <w:rPr/>
      </w:pPr>
      <w:r>
        <w:rPr/>
        <w:t>In order to protect and enforce operating conditions for the Lithium cells, a battery management system or BMS is used. A BMS implements safety protocols to mitigate the above effects as well as providing information to the load and other monitoring services such as state-of-charge information (remaining capacity), .</w:t>
      </w:r>
    </w:p>
    <w:p>
      <w:pPr>
        <w:pStyle w:val="Heading5"/>
        <w:tabs>
          <w:tab w:val="clear" w:pos="709"/>
          <w:tab w:val="left" w:pos="0" w:leader="none"/>
        </w:tabs>
        <w:bidi w:val="0"/>
        <w:ind w:left="0" w:hanging="0"/>
        <w:jc w:val="left"/>
        <w:rPr/>
      </w:pPr>
      <w:bookmarkStart w:id="20" w:name="lifespansubseclifespan"/>
      <w:r>
        <w:rPr/>
        <w:t>Lifespan[subsec:Lifespan]</w:t>
      </w:r>
      <w:bookmarkEnd w:id="20"/>
    </w:p>
    <w:p>
      <w:pPr>
        <w:pStyle w:val="Firstparagraph"/>
        <w:bidi w:val="0"/>
        <w:jc w:val="left"/>
        <w:rPr/>
      </w:pPr>
      <w:r>
        <w:rPr/>
        <w:t>Lithium-ion cells are a consumable item that degrades. The environmental and financial cost of replacement creates a significant incentive to extend this as much as possible as long as this does not inhibit the operating capabilities beyond the specification.</w:t>
      </w:r>
    </w:p>
    <w:p>
      <w:pPr>
        <w:pStyle w:val="TextBody"/>
        <w:bidi w:val="0"/>
        <w:spacing w:before="86" w:after="86"/>
        <w:jc w:val="left"/>
        <w:rPr/>
      </w:pPr>
      <w:r>
        <w:rPr/>
        <w:t>As previously mentioned, the temperature of the cells is a key parameter affecting both performance and lifespan, . Although operating at a higher temperature increases performance it also decreases lifespan. Temperature control is already critical for safety purposes, 20°C provides the ideal temperature for prolonging lifespan and as such will be set as the target temperature, .</w:t>
      </w:r>
    </w:p>
    <w:p>
      <w:pPr>
        <w:pStyle w:val="TextBody"/>
        <w:bidi w:val="0"/>
        <w:spacing w:before="86" w:after="86"/>
        <w:jc w:val="left"/>
        <w:rPr/>
      </w:pPr>
      <w:r>
        <w:rPr/>
        <w:t>Another important aspect to the lifespan of Lithium-ion batteries is the depth-of-discharge (DOD) which determines the number of charge cycles that the battery will last for. The depth-of-discharge describes the amount of capacity used each cycle before recharging. Lithium batteries are able to handle moderate DOD without significantly affecting the lifespan however frequent deep discharge cycles, completely emptying the battery, will reduce shorten it’s life, .</w:t>
      </w:r>
    </w:p>
    <w:p>
      <w:pPr>
        <w:pStyle w:val="TextBody"/>
        <w:bidi w:val="0"/>
        <w:spacing w:before="86" w:after="86"/>
        <w:jc w:val="left"/>
        <w:rPr/>
      </w:pPr>
      <w:r>
        <w:rPr/>
        <w:t xml:space="preserve">Similar to frequently completely discharging the battery, storing a battery fully charged for long periods of time can also shorten it’s lifespan. This can be seen presented in figure </w:t>
      </w:r>
      <w:hyperlink w:anchor="fig:charge-lifespan">
        <w:r>
          <w:rPr>
            <w:rStyle w:val="InternetLink"/>
          </w:rPr>
          <w:t>5</w:t>
        </w:r>
      </w:hyperlink>
      <w:r>
        <w:rPr/>
        <w:t xml:space="preserve"> where higher cell charge voltages can be seen to reduce capacity much faster as time or charge cycles increases</w:t>
      </w:r>
      <w:r>
        <w:rPr>
          <w:rStyle w:val="FootnoteAnchor"/>
        </w:rPr>
        <w:footnoteReference w:id="2"/>
      </w:r>
      <w:r>
        <w:rPr/>
        <w:t>.</w:t>
      </w:r>
    </w:p>
    <w:p>
      <w:pPr>
        <w:pStyle w:val="FigureWithCaption"/>
        <w:keepNext w:val="true"/>
        <w:suppressLineNumbers/>
        <w:bidi w:val="0"/>
        <w:jc w:val="left"/>
        <w:rPr/>
      </w:pPr>
      <w:r>
        <w:rPr/>
        <w:drawing>
          <wp:inline distT="0" distB="0" distL="0" distR="0">
            <wp:extent cx="3924300" cy="2641600"/>
            <wp:effectExtent l="0" t="0" r="0" b="0"/>
            <wp:docPr id="5" name="img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5" descr=""/>
                    <pic:cNvPicPr>
                      <a:picLocks noChangeAspect="1" noChangeArrowheads="1"/>
                    </pic:cNvPicPr>
                  </pic:nvPicPr>
                  <pic:blipFill>
                    <a:blip r:embed="rId6"/>
                    <a:stretch>
                      <a:fillRect/>
                    </a:stretch>
                  </pic:blipFill>
                  <pic:spPr bwMode="auto">
                    <a:xfrm>
                      <a:off x="0" y="0"/>
                      <a:ext cx="3924300" cy="2641600"/>
                    </a:xfrm>
                    <a:prstGeom prst="rect">
                      <a:avLst/>
                    </a:prstGeom>
                  </pic:spPr>
                </pic:pic>
              </a:graphicData>
            </a:graphic>
          </wp:inline>
        </w:drawing>
      </w:r>
    </w:p>
    <w:p>
      <w:pPr>
        <w:pStyle w:val="FigureCaption"/>
        <w:bidi w:val="0"/>
        <w:jc w:val="left"/>
        <w:rPr/>
      </w:pPr>
      <w:r>
        <w:rPr/>
        <w:t>The lifespan of Lithium-ion cells described by the max capacity as charge cycles increase for various charge voltages, [fig:charge-lifespan]</w:t>
      </w:r>
    </w:p>
    <w:p>
      <w:pPr>
        <w:pStyle w:val="TextBody"/>
        <w:bidi w:val="0"/>
        <w:spacing w:before="86" w:after="86"/>
        <w:jc w:val="left"/>
        <w:rPr/>
      </w:pPr>
      <w:r>
        <w:rPr/>
        <w:t>Both of the above points, tempering DOD and charge voltage rely on the BMS. To prevent deep discharges, more ammonia fuel cells should start up as the capacity decreases in order to balance the workload, the ammonia management system will need to interface with the BMS. Additionally, it would be the responsibility of the BMS to charge cells to a reasonable voltage, 3.9 - 4.1 V can provide a balance between higher capacity and longer lifespan, .</w:t>
      </w:r>
    </w:p>
    <w:p>
      <w:pPr>
        <w:pStyle w:val="FigureWithCaption"/>
        <w:keepNext w:val="true"/>
        <w:suppressLineNumbers/>
        <w:bidi w:val="0"/>
        <w:jc w:val="left"/>
        <w:rPr/>
      </w:pPr>
      <w:r>
        <w:rPr/>
        <w:drawing>
          <wp:inline distT="0" distB="0" distL="0" distR="0">
            <wp:extent cx="5207000" cy="3733800"/>
            <wp:effectExtent l="0" t="0" r="0" b="0"/>
            <wp:docPr id="6" name="img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6" descr=""/>
                    <pic:cNvPicPr>
                      <a:picLocks noChangeAspect="1" noChangeArrowheads="1"/>
                    </pic:cNvPicPr>
                  </pic:nvPicPr>
                  <pic:blipFill>
                    <a:blip r:embed="rId7"/>
                    <a:stretch>
                      <a:fillRect/>
                    </a:stretch>
                  </pic:blipFill>
                  <pic:spPr bwMode="auto">
                    <a:xfrm>
                      <a:off x="0" y="0"/>
                      <a:ext cx="5207000" cy="3733800"/>
                    </a:xfrm>
                    <a:prstGeom prst="rect">
                      <a:avLst/>
                    </a:prstGeom>
                  </pic:spPr>
                </pic:pic>
              </a:graphicData>
            </a:graphic>
          </wp:inline>
        </w:drawing>
      </w:r>
    </w:p>
    <w:p>
      <w:pPr>
        <w:pStyle w:val="FigureCaption"/>
        <w:bidi w:val="0"/>
        <w:jc w:val="left"/>
        <w:rPr/>
      </w:pPr>
      <w:r>
        <w:rPr/>
        <w:t>Voltage-Capacity characteristics for a 18650 Li-ion cell at varying temperatures, [fig:temperature-characteristics]</w:t>
      </w:r>
    </w:p>
    <w:p>
      <w:pPr>
        <w:pStyle w:val="Heading5"/>
        <w:tabs>
          <w:tab w:val="clear" w:pos="709"/>
          <w:tab w:val="left" w:pos="0" w:leader="none"/>
        </w:tabs>
        <w:bidi w:val="0"/>
        <w:ind w:left="0" w:hanging="0"/>
        <w:jc w:val="left"/>
        <w:rPr/>
      </w:pPr>
      <w:bookmarkStart w:id="21" w:name="financialsubsecbatteryfinancial"/>
      <w:r>
        <w:rPr/>
        <w:t>Financial[subsec:batteryFinancial]</w:t>
      </w:r>
      <w:bookmarkEnd w:id="21"/>
    </w:p>
    <w:p>
      <w:pPr>
        <w:pStyle w:val="Firstparagraph"/>
        <w:bidi w:val="0"/>
        <w:jc w:val="left"/>
        <w:rPr/>
      </w:pPr>
      <w:r>
        <w:rPr/>
        <w:t>As described, a battery array lasts approximately 2.3 years, after this point a new set must be sourced. 18650 cells vary in price across manufacturers and distributors, a range of RRPs were taken from UK distributors, . In general a cell’s RRP ranged between £4 and £7, it is assumed that a procurement department would secure a unit price at the lower end of this for the scale of order required and £5 is used.</w:t>
      </w:r>
    </w:p>
    <w:p>
      <w:pPr>
        <w:pStyle w:val="TextBody"/>
        <w:bidi w:val="0"/>
        <w:spacing w:before="86" w:after="86"/>
        <w:jc w:val="left"/>
        <w:rPr/>
      </w:pPr>
      <w:r>
        <w:rPr/>
        <w:t>A set of 193,600 cells at this cost totals to £968,000 which averages to £420,869 a year for modelling purposes.</w:t>
      </w:r>
    </w:p>
    <w:p>
      <w:pPr>
        <w:pStyle w:val="Heading4"/>
        <w:tabs>
          <w:tab w:val="clear" w:pos="709"/>
          <w:tab w:val="left" w:pos="0" w:leader="none"/>
        </w:tabs>
        <w:bidi w:val="0"/>
        <w:ind w:left="0" w:hanging="0"/>
        <w:jc w:val="left"/>
        <w:rPr/>
      </w:pPr>
      <w:bookmarkStart w:id="22" w:name="life-cycle-analysissubseclife-cycle-anal"/>
      <w:r>
        <w:rPr/>
        <w:t>Life-cycle Analysis[subsec:Life-cycle-Analysis]</w:t>
      </w:r>
      <w:bookmarkEnd w:id="22"/>
    </w:p>
    <w:p>
      <w:pPr>
        <w:pStyle w:val="Firstparagraph"/>
        <w:bidi w:val="0"/>
        <w:jc w:val="left"/>
        <w:rPr/>
      </w:pPr>
      <w:r>
        <w:rPr/>
        <w:t>The life-cycle analysis (LCA) of Lithium-ion batteries is a complicated process for a couple of reasons. As repeatedly stated, Li-ion batteries have been critical to the explosion of mobile consumer electronics; the development of the fabrication process and the associated environmental effects has changed dramatically. More recent LCAs and meta-analyses of previous data are considered in order to account for this. Additionally, as a global product the values for various greenhouse gas (GHG) and other emissions is contingent on the country within which the cells are made.</w:t>
      </w:r>
    </w:p>
    <w:p>
      <w:pPr>
        <w:pStyle w:val="TextBody"/>
        <w:bidi w:val="0"/>
        <w:spacing w:before="86" w:after="86"/>
        <w:jc w:val="left"/>
        <w:rPr/>
      </w:pPr>
      <w:r>
        <w:rPr/>
        <w:t>Both the cumulative energy demand (CED) and the GHG emissions are considered. Cumulative energy demand allows abstraction of the specific method of energy production and the associated emissions.</w:t>
      </w:r>
    </w:p>
    <w:p>
      <w:pPr>
        <w:pStyle w:val="TextBody"/>
        <w:bidi w:val="0"/>
        <w:spacing w:before="86" w:after="86"/>
        <w:jc w:val="left"/>
        <w:rPr/>
      </w:pPr>
      <w:r>
        <w:rPr/>
        <w:t>Many of the LCA studies on Lithium-ion batteries consider a cradle-to-gate scope without including use or end-of-life. Two end-of-life procedures are considered as well as practices to improve usage lifetime.</w:t>
      </w:r>
    </w:p>
    <w:p>
      <w:pPr>
        <w:pStyle w:val="Heading5"/>
        <w:tabs>
          <w:tab w:val="clear" w:pos="709"/>
          <w:tab w:val="left" w:pos="0" w:leader="none"/>
        </w:tabs>
        <w:bidi w:val="0"/>
        <w:ind w:left="0" w:hanging="0"/>
        <w:jc w:val="left"/>
        <w:rPr/>
      </w:pPr>
      <w:bookmarkStart w:id="23" w:name="cradle-to-gate"/>
      <w:r>
        <w:rPr/>
        <w:t>Cradle-to-Gate</w:t>
      </w:r>
      <w:bookmarkEnd w:id="23"/>
    </w:p>
    <w:p>
      <w:pPr>
        <w:pStyle w:val="FigureWithCaption"/>
        <w:keepNext w:val="true"/>
        <w:suppressLineNumbers/>
        <w:bidi w:val="0"/>
        <w:jc w:val="left"/>
        <w:rPr/>
      </w:pPr>
      <w:r>
        <w:rPr/>
        <w:drawing>
          <wp:inline distT="0" distB="0" distL="0" distR="0">
            <wp:extent cx="5838190" cy="1238885"/>
            <wp:effectExtent l="0" t="0" r="0" b="0"/>
            <wp:docPr id="7" name="img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7" descr=""/>
                    <pic:cNvPicPr>
                      <a:picLocks noChangeAspect="1" noChangeArrowheads="1"/>
                    </pic:cNvPicPr>
                  </pic:nvPicPr>
                  <pic:blipFill>
                    <a:blip r:embed="rId8"/>
                    <a:stretch>
                      <a:fillRect/>
                    </a:stretch>
                  </pic:blipFill>
                  <pic:spPr bwMode="auto">
                    <a:xfrm>
                      <a:off x="0" y="0"/>
                      <a:ext cx="5838190" cy="1238885"/>
                    </a:xfrm>
                    <a:prstGeom prst="rect">
                      <a:avLst/>
                    </a:prstGeom>
                  </pic:spPr>
                </pic:pic>
              </a:graphicData>
            </a:graphic>
          </wp:inline>
        </w:drawing>
      </w:r>
    </w:p>
    <w:p>
      <w:pPr>
        <w:pStyle w:val="FigureCaption"/>
        <w:bidi w:val="0"/>
        <w:jc w:val="left"/>
        <w:rPr/>
      </w:pPr>
      <w:r>
        <w:rPr/>
        <w:t>CED breakdown for a NCM11 battery pack (MJ/kWh), [fig:battery-ced-breakdown]</w:t>
      </w:r>
    </w:p>
    <w:p>
      <w:pPr>
        <w:pStyle w:val="Firstparagraph"/>
        <w:bidi w:val="0"/>
        <w:jc w:val="left"/>
        <w:rPr/>
      </w:pPr>
      <w:r>
        <w:rPr/>
        <w:t xml:space="preserve">Figure </w:t>
      </w:r>
      <w:hyperlink w:anchor="fig:battery-ced-breakdown">
        <w:r>
          <w:rPr>
            <w:rStyle w:val="InternetLink"/>
          </w:rPr>
          <w:t>7</w:t>
        </w:r>
      </w:hyperlink>
      <w:r>
        <w:rPr/>
        <w:t xml:space="preserve"> outlines the cumulative energy demand for the major elements of a Nickel/Cobalt/Manganese cathode (NCM11) battery. As points out, cathodes are tending towards a higher cathode composition of Nickel, however the general proportions are relevant to other chemistry. It can be seen that the production of the cells constitutes the majority of the required CED at 75% of the total. As this is also the element of the battery that requires periodic replacement following degradation, a closer look at the contributing stages should be considered.</w:t>
      </w:r>
    </w:p>
    <w:p>
      <w:pPr>
        <w:pStyle w:val="FigureWithCaption"/>
        <w:keepNext w:val="true"/>
        <w:suppressLineNumbers/>
        <w:bidi w:val="0"/>
        <w:jc w:val="left"/>
        <w:rPr/>
      </w:pPr>
      <w:r>
        <w:rPr/>
        <w:drawing>
          <wp:inline distT="0" distB="0" distL="0" distR="0">
            <wp:extent cx="5838190" cy="1346835"/>
            <wp:effectExtent l="0" t="0" r="0" b="0"/>
            <wp:docPr id="8" name="img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8" descr=""/>
                    <pic:cNvPicPr>
                      <a:picLocks noChangeAspect="1" noChangeArrowheads="1"/>
                    </pic:cNvPicPr>
                  </pic:nvPicPr>
                  <pic:blipFill>
                    <a:blip r:embed="rId9"/>
                    <a:stretch>
                      <a:fillRect/>
                    </a:stretch>
                  </pic:blipFill>
                  <pic:spPr bwMode="auto">
                    <a:xfrm>
                      <a:off x="0" y="0"/>
                      <a:ext cx="5838190" cy="1346835"/>
                    </a:xfrm>
                    <a:prstGeom prst="rect">
                      <a:avLst/>
                    </a:prstGeom>
                  </pic:spPr>
                </pic:pic>
              </a:graphicData>
            </a:graphic>
          </wp:inline>
        </w:drawing>
      </w:r>
    </w:p>
    <w:p>
      <w:pPr>
        <w:pStyle w:val="FigureCaption"/>
        <w:bidi w:val="0"/>
        <w:jc w:val="left"/>
        <w:rPr/>
      </w:pPr>
      <w:r>
        <w:rPr/>
        <w:t>CED breakdown for a NCM11 cell without BMS or pack (MJ/kWh), [fig:cell-ced-breakdown]</w:t>
      </w:r>
    </w:p>
    <w:p>
      <w:pPr>
        <w:pStyle w:val="TextBody"/>
        <w:bidi w:val="0"/>
        <w:spacing w:before="86" w:after="86"/>
        <w:jc w:val="left"/>
        <w:rPr/>
      </w:pPr>
      <w:r>
        <w:rPr/>
        <w:t xml:space="preserve">This further breakdown can be seen in figure </w:t>
      </w:r>
      <w:hyperlink w:anchor="fig:cell-ced-breakdown">
        <w:r>
          <w:rPr>
            <w:rStyle w:val="InternetLink"/>
          </w:rPr>
          <w:t>8</w:t>
        </w:r>
      </w:hyperlink>
      <w:r>
        <w:rPr/>
        <w:t>.</w:t>
      </w:r>
    </w:p>
    <w:p>
      <w:pPr>
        <w:pStyle w:val="FigureWithCaption"/>
        <w:keepNext w:val="true"/>
        <w:suppressLineNumbers/>
        <w:bidi w:val="0"/>
        <w:jc w:val="left"/>
        <w:rPr/>
      </w:pPr>
      <w:r>
        <w:rPr/>
        <w:drawing>
          <wp:inline distT="0" distB="0" distL="0" distR="0">
            <wp:extent cx="5784215" cy="1109345"/>
            <wp:effectExtent l="0" t="0" r="0" b="0"/>
            <wp:docPr id="9" name="img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9" descr=""/>
                    <pic:cNvPicPr>
                      <a:picLocks noChangeAspect="1" noChangeArrowheads="1"/>
                    </pic:cNvPicPr>
                  </pic:nvPicPr>
                  <pic:blipFill>
                    <a:blip r:embed="rId10"/>
                    <a:stretch>
                      <a:fillRect/>
                    </a:stretch>
                  </pic:blipFill>
                  <pic:spPr bwMode="auto">
                    <a:xfrm>
                      <a:off x="0" y="0"/>
                      <a:ext cx="5784215" cy="1109345"/>
                    </a:xfrm>
                    <a:prstGeom prst="rect">
                      <a:avLst/>
                    </a:prstGeom>
                  </pic:spPr>
                </pic:pic>
              </a:graphicData>
            </a:graphic>
          </wp:inline>
        </w:drawing>
      </w:r>
    </w:p>
    <w:p>
      <w:pPr>
        <w:pStyle w:val="FigureCaption"/>
        <w:bidi w:val="0"/>
        <w:jc w:val="left"/>
        <w:rPr/>
      </w:pPr>
      <w:r>
        <w:rPr/>
        <w:t>Equivalent carbon breakdown for a NCM11 battery pack (kg CO2e/kWh), [fig:battery-co2e-breakdown]</w:t>
      </w:r>
    </w:p>
    <w:p>
      <w:pPr>
        <w:pStyle w:val="Heading5"/>
        <w:tabs>
          <w:tab w:val="clear" w:pos="709"/>
          <w:tab w:val="left" w:pos="0" w:leader="none"/>
        </w:tabs>
        <w:bidi w:val="0"/>
        <w:ind w:left="0" w:hanging="0"/>
        <w:jc w:val="left"/>
        <w:rPr/>
      </w:pPr>
      <w:bookmarkStart w:id="24" w:name="use"/>
      <w:r>
        <w:rPr/>
        <w:t>Use</w:t>
      </w:r>
      <w:bookmarkEnd w:id="24"/>
    </w:p>
    <w:p>
      <w:pPr>
        <w:pStyle w:val="Firstparagraph"/>
        <w:bidi w:val="0"/>
        <w:jc w:val="left"/>
        <w:rPr/>
      </w:pPr>
      <w:r>
        <w:rPr/>
        <w:t>The use of Lithium batteries does not inherently incur a Carbon cost; the associated cost of energy stored is accounted for by the source of this energy, in this case ammonia fuel cells.</w:t>
      </w:r>
    </w:p>
    <w:p>
      <w:pPr>
        <w:pStyle w:val="TextBody"/>
        <w:bidi w:val="0"/>
        <w:spacing w:before="86" w:after="86"/>
        <w:jc w:val="left"/>
        <w:rPr/>
      </w:pPr>
      <w:r>
        <w:rPr/>
        <w:t>The use of the batteries does require analysis, however. The source and end-of-life procedures for a battery pack is a carbon intensive operation and the ability to extend the time in-between replacement will improve the environmental impact overall.</w:t>
      </w:r>
    </w:p>
    <w:p>
      <w:pPr>
        <w:pStyle w:val="TextBody"/>
        <w:bidi w:val="0"/>
        <w:spacing w:before="86" w:after="86"/>
        <w:jc w:val="left"/>
        <w:rPr/>
      </w:pPr>
      <w:r>
        <w:rPr/>
        <w:t xml:space="preserve">There are a number of ways to increase the lifespan of a battery pack, these have been outlined in section </w:t>
      </w:r>
      <w:hyperlink w:anchor="subsec:Lifespan">
        <w:r>
          <w:rPr>
            <w:rStyle w:val="InternetLink"/>
          </w:rPr>
          <w:t>[subsec:Lifespan]</w:t>
        </w:r>
      </w:hyperlink>
      <w:r>
        <w:rPr/>
        <w:t xml:space="preserve"> and are critical for reducing the environmental impact of the system.</w:t>
      </w:r>
    </w:p>
    <w:p>
      <w:pPr>
        <w:pStyle w:val="Heading5"/>
        <w:tabs>
          <w:tab w:val="clear" w:pos="709"/>
          <w:tab w:val="left" w:pos="0" w:leader="none"/>
        </w:tabs>
        <w:bidi w:val="0"/>
        <w:ind w:left="0" w:hanging="0"/>
        <w:jc w:val="left"/>
        <w:rPr/>
      </w:pPr>
      <w:bookmarkStart w:id="25" w:name="end-of-life"/>
      <w:r>
        <w:rPr/>
        <w:t>End-of-Life</w:t>
      </w:r>
      <w:bookmarkEnd w:id="25"/>
    </w:p>
    <w:p>
      <w:pPr>
        <w:pStyle w:val="Firstparagraph"/>
        <w:bidi w:val="0"/>
        <w:jc w:val="left"/>
        <w:rPr/>
      </w:pPr>
      <w:r>
        <w:rPr/>
        <w:t>There are two main approaches to sustainable end-of-life processing for Lithium-ion processing, second-use and recycling.</w:t>
      </w:r>
    </w:p>
    <w:p>
      <w:pPr>
        <w:pStyle w:val="Heading5"/>
        <w:tabs>
          <w:tab w:val="clear" w:pos="709"/>
          <w:tab w:val="left" w:pos="0" w:leader="none"/>
        </w:tabs>
        <w:bidi w:val="0"/>
        <w:ind w:left="0" w:hanging="0"/>
        <w:jc w:val="left"/>
        <w:rPr/>
      </w:pPr>
      <w:bookmarkStart w:id="26" w:name="summary"/>
      <w:r>
        <w:rPr/>
        <w:t>Summary</w:t>
      </w:r>
      <w:bookmarkEnd w:id="26"/>
    </w:p>
    <w:p>
      <w:pPr>
        <w:pStyle w:val="Firstparagraph"/>
        <w:bidi w:val="0"/>
        <w:jc w:val="left"/>
        <w:rPr/>
      </w:pPr>
      <w:r>
        <w:rPr/>
        <w:t>It is worth noting that this is the proposed solution based on the current state of energy storage. One of the only advantages of rechargeable batteries being a consumable item requiring replacement is that when this occurs, it is an opportunity to re-evaluate the system design. With an expected project lifespan of 30 years, it is highly unlikely that the use of Li-ion cells will remain the best option.</w:t>
      </w:r>
    </w:p>
    <w:p>
      <w:pPr>
        <w:pStyle w:val="TextBody"/>
        <w:bidi w:val="0"/>
        <w:spacing w:before="86" w:after="86"/>
        <w:jc w:val="left"/>
        <w:rPr/>
      </w:pPr>
      <w:r>
        <w:rPr/>
        <w:t>Systems based on a solid-state chemistry will likely become more stable and less expensive to the point that the advantages in safety and energy density can be fully utilised without the heavy downsides.</w:t>
      </w:r>
    </w:p>
    <w:p>
      <w:pPr>
        <w:pStyle w:val="Heading4"/>
        <w:tabs>
          <w:tab w:val="clear" w:pos="709"/>
          <w:tab w:val="left" w:pos="0" w:leader="none"/>
        </w:tabs>
        <w:bidi w:val="0"/>
        <w:ind w:left="0" w:hanging="0"/>
        <w:jc w:val="left"/>
        <w:rPr/>
      </w:pPr>
      <w:bookmarkStart w:id="27" w:name="sustainability-1"/>
      <w:r>
        <w:rPr/>
        <w:t>Sustainability</w:t>
      </w:r>
      <w:bookmarkEnd w:id="27"/>
    </w:p>
    <w:p>
      <w:pPr>
        <w:pStyle w:val="Firstparagraph"/>
        <w:bidi w:val="0"/>
        <w:jc w:val="left"/>
        <w:rPr/>
      </w:pPr>
      <w:r>
        <w:rPr/>
        <w:t>Although many of the important environmental aspects of sustainability are covered by a life-cycle analysis, there are other elements to consider regarding sustainability. One of the most important aspects is a social one, that of the mining of Lithium and Cobalt. The majority of both minerals are located in two areas of the global south where resource shortages and unethical mining practices lead to dangerous and damaging results both socially and environmentally.</w:t>
      </w:r>
    </w:p>
    <w:p>
      <w:pPr>
        <w:pStyle w:val="Heading5"/>
        <w:tabs>
          <w:tab w:val="clear" w:pos="709"/>
          <w:tab w:val="left" w:pos="0" w:leader="none"/>
        </w:tabs>
        <w:bidi w:val="0"/>
        <w:ind w:left="0" w:hanging="0"/>
        <w:jc w:val="left"/>
        <w:rPr/>
      </w:pPr>
      <w:bookmarkStart w:id="28" w:name="lithium"/>
      <w:r>
        <w:rPr/>
        <w:t>Lithium</w:t>
      </w:r>
      <w:bookmarkEnd w:id="28"/>
    </w:p>
    <w:p>
      <w:pPr>
        <w:pStyle w:val="Firstparagraph"/>
        <w:bidi w:val="0"/>
        <w:jc w:val="left"/>
        <w:rPr/>
      </w:pPr>
      <w:r>
        <w:rPr/>
        <w:t xml:space="preserve">The majority of global Lithium deposits can be found in an area of South America referred to as the </w:t>
      </w:r>
      <w:r>
        <w:rPr>
          <w:i/>
          <w:iCs/>
        </w:rPr>
        <w:t>Lithium Triangle</w:t>
      </w:r>
      <w:r>
        <w:rPr/>
        <w:t xml:space="preserve"> covering areas of Chile, Argentina and Bolivia. The area has been estimated to constitute between 54 and 70% of the world’s deposits, . The extraction process is a water-intensive process in an area already without an adequate supply; in Chile this is as much as 65% of the area’s water or 500,000 gallons per tonne of Lithium, .</w:t>
      </w:r>
    </w:p>
    <w:p>
      <w:pPr>
        <w:pStyle w:val="TextBody"/>
        <w:bidi w:val="0"/>
        <w:spacing w:before="86" w:after="86"/>
        <w:jc w:val="left"/>
        <w:rPr/>
      </w:pPr>
      <w:r>
        <w:rPr/>
        <w:t>The processing can also include dangerous chemicals including various acids</w:t>
      </w:r>
    </w:p>
    <w:p>
      <w:pPr>
        <w:pStyle w:val="Heading5"/>
        <w:tabs>
          <w:tab w:val="clear" w:pos="709"/>
          <w:tab w:val="left" w:pos="0" w:leader="none"/>
        </w:tabs>
        <w:bidi w:val="0"/>
        <w:ind w:left="0" w:hanging="0"/>
        <w:jc w:val="left"/>
        <w:rPr/>
      </w:pPr>
      <w:bookmarkStart w:id="29" w:name="cobalt"/>
      <w:r>
        <w:rPr/>
        <w:t>Cobalt</w:t>
      </w:r>
      <w:bookmarkEnd w:id="29"/>
    </w:p>
    <w:p>
      <w:pPr>
        <w:pStyle w:val="Firstparagraph"/>
        <w:bidi w:val="0"/>
        <w:jc w:val="left"/>
        <w:rPr/>
      </w:pPr>
      <w:r>
        <w:rPr/>
        <w:t>Over half of the world’s Cobalt deposits are found in the Democratic Republic of Congo, .</w:t>
      </w:r>
    </w:p>
    <w:p>
      <w:pPr>
        <w:pStyle w:val="TextBody"/>
        <w:bidi w:val="0"/>
        <w:spacing w:before="86" w:after="86"/>
        <w:jc w:val="left"/>
        <w:rPr/>
      </w:pPr>
      <w:r>
        <w:rPr/>
        <w:t>Although not widely officially designated as such, there are efforts to class Cobalt as a conflict mineral as it’s importance grows to one of the most notorious countries for other such minerals including Gold and Tungsten.</w:t>
      </w:r>
    </w:p>
    <w:p>
      <w:pPr>
        <w:pStyle w:val="TextBody"/>
        <w:bidi w:val="0"/>
        <w:spacing w:before="86" w:after="86"/>
        <w:jc w:val="left"/>
        <w:rPr/>
      </w:pPr>
      <w:r>
        <w:rPr/>
        <w:t>20% of the exported cobalt has been estimated to come from artisanal mines, .</w:t>
      </w:r>
    </w:p>
    <w:p>
      <w:pPr>
        <w:pStyle w:val="Heading4"/>
        <w:tabs>
          <w:tab w:val="clear" w:pos="709"/>
          <w:tab w:val="left" w:pos="0" w:leader="none"/>
        </w:tabs>
        <w:bidi w:val="0"/>
        <w:ind w:left="0" w:hanging="0"/>
        <w:jc w:val="left"/>
        <w:rPr/>
      </w:pPr>
      <w:bookmarkStart w:id="30" w:name="time-dependent-modelling"/>
      <w:r>
        <w:rPr/>
        <w:t>Time-dependent Modelling</w:t>
      </w:r>
      <w:bookmarkEnd w:id="30"/>
    </w:p>
    <w:p>
      <w:pPr>
        <w:pStyle w:val="Firstparagraph"/>
        <w:bidi w:val="0"/>
        <w:jc w:val="left"/>
        <w:rPr/>
      </w:pPr>
      <w:r>
        <w:rPr/>
        <w:t xml:space="preserve">In order to validate this buffer configuration, a model was constructed to visualise the capacity of the battery system while in use. Explanations as to the specific behaviour and assumptions made can be seen in appendix </w:t>
      </w:r>
      <w:hyperlink w:anchor="sec:Time-dependent-Power-Modelling">
        <w:r>
          <w:rPr>
            <w:rStyle w:val="InternetLink"/>
          </w:rPr>
          <w:t>[sec:Time-dependent-Power-Modelling]</w:t>
        </w:r>
      </w:hyperlink>
      <w:r>
        <w:rPr/>
        <w:t xml:space="preserve">. An example model describing the vessel dynamic positioning above a cable fault can be seen in figure </w:t>
      </w:r>
      <w:hyperlink w:anchor="fig:dyn-pos-power-model">
        <w:r>
          <w:rPr>
            <w:rStyle w:val="InternetLink"/>
          </w:rPr>
          <w:t>10</w:t>
        </w:r>
      </w:hyperlink>
      <w:r>
        <w:rPr/>
        <w:t>.</w:t>
      </w:r>
    </w:p>
    <w:p>
      <w:pPr>
        <w:pStyle w:val="FigureWithCaption"/>
        <w:keepNext w:val="true"/>
        <w:suppressLineNumbers/>
        <w:bidi w:val="0"/>
        <w:jc w:val="left"/>
        <w:rPr/>
      </w:pPr>
      <w:r>
        <w:rPr/>
        <w:drawing>
          <wp:inline distT="0" distB="0" distL="0" distR="0">
            <wp:extent cx="5125085" cy="4100195"/>
            <wp:effectExtent l="0" t="0" r="0" b="0"/>
            <wp:docPr id="10" name="img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10" descr=""/>
                    <pic:cNvPicPr>
                      <a:picLocks noChangeAspect="1" noChangeArrowheads="1"/>
                    </pic:cNvPicPr>
                  </pic:nvPicPr>
                  <pic:blipFill>
                    <a:blip r:embed="rId11"/>
                    <a:stretch>
                      <a:fillRect/>
                    </a:stretch>
                  </pic:blipFill>
                  <pic:spPr bwMode="auto">
                    <a:xfrm>
                      <a:off x="0" y="0"/>
                      <a:ext cx="5125085" cy="4100195"/>
                    </a:xfrm>
                    <a:prstGeom prst="rect">
                      <a:avLst/>
                    </a:prstGeom>
                  </pic:spPr>
                </pic:pic>
              </a:graphicData>
            </a:graphic>
          </wp:inline>
        </w:drawing>
      </w:r>
    </w:p>
    <w:p>
      <w:pPr>
        <w:pStyle w:val="FigureCaption"/>
        <w:bidi w:val="0"/>
        <w:jc w:val="left"/>
        <w:rPr/>
      </w:pPr>
      <w:r>
        <w:rPr/>
        <w:t>Power model describing the vessel dynamic positioning on mission[fig:dyn-pos-power-model]</w:t>
      </w:r>
    </w:p>
    <w:p>
      <w:pPr>
        <w:pStyle w:val="TextBody"/>
        <w:bidi w:val="0"/>
        <w:spacing w:before="86" w:after="86"/>
        <w:jc w:val="left"/>
        <w:rPr/>
      </w:pPr>
      <w:r>
        <w:rPr/>
        <w:t xml:space="preserve">The top sub-figure describes the power in from the ammonia fuel cells and the load power drawn from the hotel and propulsion systems. The middle figure describes the effect this has on the capacity of the battery. The bottom figure describes the efficiency of this system, the </w:t>
      </w:r>
      <w:r>
        <w:rPr>
          <w:i/>
          <w:iCs/>
        </w:rPr>
        <w:t>unused</w:t>
      </w:r>
      <w:r>
        <w:rPr/>
        <w:t xml:space="preserve"> power describes when more fuel cells than required are turned on and power is drawn below the most efficient state. The </w:t>
      </w:r>
      <w:r>
        <w:rPr>
          <w:i/>
          <w:iCs/>
        </w:rPr>
        <w:t>unavailable</w:t>
      </w:r>
      <w:r>
        <w:rPr/>
        <w:t xml:space="preserve"> power describes when the fuel cells in their most efficient state and the battery combined cannot meet the requirement. As a result, extra power would be drawn from both pulling them into an inefficient or damaging state.</w:t>
      </w:r>
    </w:p>
    <w:p>
      <w:pPr>
        <w:pStyle w:val="FigureWithCaption"/>
        <w:keepNext w:val="true"/>
        <w:suppressLineNumbers/>
        <w:bidi w:val="0"/>
        <w:jc w:val="left"/>
        <w:rPr/>
      </w:pPr>
      <w:r>
        <w:rPr/>
        <w:drawing>
          <wp:inline distT="0" distB="0" distL="0" distR="0">
            <wp:extent cx="5819775" cy="4655820"/>
            <wp:effectExtent l="0" t="0" r="0" b="0"/>
            <wp:docPr id="11" name="img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11" descr=""/>
                    <pic:cNvPicPr>
                      <a:picLocks noChangeAspect="1" noChangeArrowheads="1"/>
                    </pic:cNvPicPr>
                  </pic:nvPicPr>
                  <pic:blipFill>
                    <a:blip r:embed="rId12"/>
                    <a:stretch>
                      <a:fillRect/>
                    </a:stretch>
                  </pic:blipFill>
                  <pic:spPr bwMode="auto">
                    <a:xfrm>
                      <a:off x="0" y="0"/>
                      <a:ext cx="5819775" cy="4655820"/>
                    </a:xfrm>
                    <a:prstGeom prst="rect">
                      <a:avLst/>
                    </a:prstGeom>
                  </pic:spPr>
                </pic:pic>
              </a:graphicData>
            </a:graphic>
          </wp:inline>
        </w:drawing>
      </w:r>
    </w:p>
    <w:p>
      <w:pPr>
        <w:pStyle w:val="FigureCaption"/>
        <w:bidi w:val="0"/>
        <w:jc w:val="left"/>
        <w:rPr/>
      </w:pPr>
      <w:r>
        <w:rPr/>
        <w:t>Power model describing one mission including travelling and dynamic positioning[fig:mission-power-model]</w:t>
      </w:r>
    </w:p>
    <w:p>
      <w:pPr>
        <w:pStyle w:val="TextBody"/>
        <w:bidi w:val="0"/>
        <w:spacing w:before="86" w:after="86"/>
        <w:jc w:val="left"/>
        <w:rPr/>
      </w:pPr>
      <w:r>
        <w:rPr/>
        <w:t xml:space="preserve">This model was extended to simulate an entire mission (figure </w:t>
      </w:r>
      <w:hyperlink w:anchor="fig:mission-power-model">
        <w:r>
          <w:rPr>
            <w:rStyle w:val="InternetLink"/>
          </w:rPr>
          <w:t>11</w:t>
        </w:r>
      </w:hyperlink>
      <w:r>
        <w:rPr/>
        <w:t>) including:</w:t>
      </w:r>
    </w:p>
    <w:p>
      <w:pPr>
        <w:pStyle w:val="TextBody"/>
        <w:numPr>
          <w:ilvl w:val="0"/>
          <w:numId w:val="6"/>
        </w:numPr>
        <w:bidi w:val="0"/>
        <w:jc w:val="left"/>
        <w:rPr/>
      </w:pPr>
      <w:r>
        <w:rPr/>
        <w:t>Outbound journey (3 days)</w:t>
      </w:r>
    </w:p>
    <w:p>
      <w:pPr>
        <w:pStyle w:val="TextBody"/>
        <w:numPr>
          <w:ilvl w:val="0"/>
          <w:numId w:val="6"/>
        </w:numPr>
        <w:bidi w:val="0"/>
        <w:jc w:val="left"/>
        <w:rPr/>
      </w:pPr>
      <w:r>
        <w:rPr/>
        <w:t>Manoeuvring to the fault (1 day)</w:t>
      </w:r>
    </w:p>
    <w:p>
      <w:pPr>
        <w:pStyle w:val="TextBody"/>
        <w:numPr>
          <w:ilvl w:val="0"/>
          <w:numId w:val="6"/>
        </w:numPr>
        <w:bidi w:val="0"/>
        <w:jc w:val="left"/>
        <w:rPr/>
      </w:pPr>
      <w:r>
        <w:rPr/>
        <w:t>Dynamic positioning while completing the first splice (2 days)</w:t>
      </w:r>
    </w:p>
    <w:p>
      <w:pPr>
        <w:pStyle w:val="TextBody"/>
        <w:numPr>
          <w:ilvl w:val="0"/>
          <w:numId w:val="6"/>
        </w:numPr>
        <w:bidi w:val="0"/>
        <w:jc w:val="left"/>
        <w:rPr/>
      </w:pPr>
      <w:r>
        <w:rPr/>
        <w:t>Manoeuvring to the other half of the cable (1 day)</w:t>
      </w:r>
    </w:p>
    <w:p>
      <w:pPr>
        <w:pStyle w:val="TextBody"/>
        <w:numPr>
          <w:ilvl w:val="0"/>
          <w:numId w:val="6"/>
        </w:numPr>
        <w:bidi w:val="0"/>
        <w:jc w:val="left"/>
        <w:rPr/>
      </w:pPr>
      <w:r>
        <w:rPr/>
        <w:t>Dynamic positioning while completing the second splice (2 days)</w:t>
      </w:r>
    </w:p>
    <w:p>
      <w:pPr>
        <w:pStyle w:val="TextBody"/>
        <w:numPr>
          <w:ilvl w:val="0"/>
          <w:numId w:val="6"/>
        </w:numPr>
        <w:bidi w:val="0"/>
        <w:jc w:val="left"/>
        <w:rPr/>
      </w:pPr>
      <w:r>
        <w:rPr/>
        <w:t>Homeward journey (3 days)</w:t>
      </w:r>
    </w:p>
    <w:p>
      <w:pPr>
        <w:pStyle w:val="Firstparagraph"/>
        <w:bidi w:val="0"/>
        <w:jc w:val="left"/>
        <w:rPr/>
      </w:pPr>
      <w:r>
        <w:rPr/>
        <w:t>From these models, the amount of battery charge cycles was estimated to be around 2 per day. Extrapolating this to a yearly usage value using the expected vessel usage, a battery array was estimated to last 2.3 years. This is a typical value for the lifespan of Lithium-ion batteries.</w:t>
      </w:r>
    </w:p>
    <w:p>
      <w:pPr>
        <w:pStyle w:val="Heading3"/>
        <w:tabs>
          <w:tab w:val="clear" w:pos="709"/>
          <w:tab w:val="left" w:pos="0" w:leader="none"/>
        </w:tabs>
        <w:bidi w:val="0"/>
        <w:ind w:left="0" w:hanging="0"/>
        <w:jc w:val="left"/>
        <w:rPr/>
      </w:pPr>
      <w:bookmarkStart w:id="31" w:name="mission-ops"/>
      <w:r>
        <w:rPr/>
        <w:t>Mission Ops</w:t>
      </w:r>
      <w:bookmarkEnd w:id="31"/>
    </w:p>
    <w:p>
      <w:pPr>
        <w:pStyle w:val="Heading4"/>
        <w:tabs>
          <w:tab w:val="clear" w:pos="709"/>
          <w:tab w:val="left" w:pos="0" w:leader="none"/>
        </w:tabs>
        <w:bidi w:val="0"/>
        <w:ind w:left="0" w:hanging="0"/>
        <w:jc w:val="left"/>
        <w:rPr/>
      </w:pPr>
      <w:bookmarkStart w:id="32" w:name="grapnel-based-operations-ap"/>
      <w:r>
        <w:rPr/>
        <w:t>Grapnel-based Operations [AP]</w:t>
      </w:r>
      <w:bookmarkEnd w:id="32"/>
    </w:p>
    <w:p>
      <w:pPr>
        <w:pStyle w:val="Firstparagraph"/>
        <w:bidi w:val="0"/>
        <w:jc w:val="left"/>
        <w:rPr/>
      </w:pPr>
      <w:r>
        <w:rPr/>
        <w:t>While the use of robotics has made sub-sea cable repair operations more efficient, durable and accurate, as will be discussed there are situations where this is not available and it is worth briefly outlining how grapnels are used in repair operations.</w:t>
      </w:r>
    </w:p>
    <w:p>
      <w:pPr>
        <w:pStyle w:val="TextBody"/>
        <w:bidi w:val="0"/>
        <w:spacing w:before="86" w:after="86"/>
        <w:jc w:val="left"/>
        <w:rPr/>
      </w:pPr>
      <w:r>
        <w:rPr/>
        <w:t>Grapnels are specialised tools attached to lengths of chain which trail the stern of the ship. For cable repair operations, a cut &amp; hold grapnel is used . With knowledge of the path of the subject cable and the location of the fault, the grapnel is lowered before the boat makes a pass perpendicular to the cable. As the grapnel makes contact it is able to both cut and grip the cable before being raised to the surface vessel.</w:t>
      </w:r>
    </w:p>
    <w:p>
      <w:pPr>
        <w:pStyle w:val="Heading4"/>
        <w:tabs>
          <w:tab w:val="clear" w:pos="709"/>
          <w:tab w:val="left" w:pos="0" w:leader="none"/>
        </w:tabs>
        <w:bidi w:val="0"/>
        <w:ind w:left="0" w:hanging="0"/>
        <w:jc w:val="left"/>
        <w:rPr/>
      </w:pPr>
      <w:bookmarkStart w:id="33" w:name="unmanned-underwater-vehicle-operations-a"/>
      <w:r>
        <w:rPr/>
        <w:t>Unmanned Underwater Vehicle Operations [AP]</w:t>
      </w:r>
      <w:bookmarkEnd w:id="33"/>
    </w:p>
    <w:p>
      <w:pPr>
        <w:pStyle w:val="Firstparagraph"/>
        <w:bidi w:val="0"/>
        <w:jc w:val="left"/>
        <w:rPr/>
      </w:pPr>
      <w:r>
        <w:rPr/>
        <w:t>The following section outlines how the use of an unmanned underwater vehicle (UUV) can make mission operations more efficient and precise. The state of current UUV usage throughout cable repair operations is outlined in order to identify the critical capabilities, requirements and advantages over traditional grapnel operations. The future of the domain is then explored and the challenges in applying these developments to sub-sea cable repair are identified before exploring how these can be overcome in order to meet the determined requirements. Prior to this, the domain of UUVs as a whole is described in order to outline the scope of available vehicles.</w:t>
      </w:r>
    </w:p>
    <w:p>
      <w:pPr>
        <w:pStyle w:val="Heading5"/>
        <w:tabs>
          <w:tab w:val="clear" w:pos="709"/>
          <w:tab w:val="left" w:pos="0" w:leader="none"/>
        </w:tabs>
        <w:bidi w:val="0"/>
        <w:ind w:left="0" w:hanging="0"/>
        <w:jc w:val="left"/>
        <w:rPr/>
      </w:pPr>
      <w:bookmarkStart w:id="34" w:name="uuv-classes"/>
      <w:r>
        <w:rPr/>
        <w:t>UUV Classes</w:t>
      </w:r>
      <w:bookmarkEnd w:id="34"/>
    </w:p>
    <w:p>
      <w:pPr>
        <w:pStyle w:val="Heading6"/>
        <w:tabs>
          <w:tab w:val="clear" w:pos="709"/>
          <w:tab w:val="left" w:pos="0" w:leader="none"/>
        </w:tabs>
        <w:bidi w:val="0"/>
        <w:ind w:left="0" w:hanging="0"/>
        <w:jc w:val="left"/>
        <w:rPr/>
      </w:pPr>
      <w:bookmarkStart w:id="35" w:name="rovs-and-auvs"/>
      <w:r>
        <w:rPr/>
        <w:t>ROVs and AUVs</w:t>
      </w:r>
      <w:bookmarkEnd w:id="35"/>
    </w:p>
    <w:p>
      <w:pPr>
        <w:pStyle w:val="Firstparagraph"/>
        <w:bidi w:val="0"/>
        <w:jc w:val="left"/>
        <w:rPr/>
      </w:pPr>
      <w:r>
        <w:rPr/>
        <w:t>UUVs can be divided into two categories based on their control scheme. Remotely operated underwater vehicles (ROV) and autonomous underwater vehicles (AUV) are distinguished by whether a human is controlling the vehicle or whether it operates independently; as such they have different applications. ROVs have been the vehicle class of choice where complex intervention and actuation is required such as offshore oil and gas operations and cable repair. A human operator controls the vehicle from the surface vessel; bi-directional communication including data, control, video and power are transmitted through an umbilical cord tether between the two vessels. AUVs on the other hand have primarily been used for survey and research purposes.</w:t>
      </w:r>
    </w:p>
    <w:p>
      <w:pPr>
        <w:pStyle w:val="TextBody"/>
        <w:bidi w:val="0"/>
        <w:spacing w:before="86" w:after="86"/>
        <w:jc w:val="left"/>
        <w:rPr/>
      </w:pPr>
      <w:r>
        <w:rPr/>
        <w:t>This distinction in responsibilities is not static, however. Like other robotics domains such as auto-mobiles and ships, autonomy is a rapidly developing area of research and development; newer vehicles are able to complete more complex operations without human intervention and with longer endurance.</w:t>
      </w:r>
    </w:p>
    <w:p>
      <w:pPr>
        <w:pStyle w:val="Heading6"/>
        <w:tabs>
          <w:tab w:val="clear" w:pos="709"/>
          <w:tab w:val="left" w:pos="0" w:leader="none"/>
        </w:tabs>
        <w:bidi w:val="0"/>
        <w:ind w:left="0" w:hanging="0"/>
        <w:jc w:val="left"/>
        <w:rPr/>
      </w:pPr>
      <w:bookmarkStart w:id="36" w:name="physical-configuration"/>
      <w:r>
        <w:rPr/>
        <w:t>Physical Configuration</w:t>
      </w:r>
      <w:bookmarkEnd w:id="36"/>
    </w:p>
    <w:p>
      <w:pPr>
        <w:pStyle w:val="Firstparagraph"/>
        <w:bidi w:val="0"/>
        <w:jc w:val="left"/>
        <w:rPr/>
      </w:pPr>
      <w:r>
        <w:rPr/>
        <w:t>The physical layout of a UUV can generally be described by one of two classes, box frames or torpedo shaped. Box frame UUVs are typically larger with more space for instruments and actuators but are not expected to make longer distance journeys as a result of their poor hydrodynamic profile. Torpedo shaped vehicles tend to be smaller without actuators; their hydrodynamic profile makes them well suited for faster, longer distance missions however this comes at the cost of reduced stability and control.</w:t>
      </w:r>
    </w:p>
    <w:p>
      <w:pPr>
        <w:pStyle w:val="Heading5"/>
        <w:tabs>
          <w:tab w:val="clear" w:pos="709"/>
          <w:tab w:val="left" w:pos="0" w:leader="none"/>
        </w:tabs>
        <w:bidi w:val="0"/>
        <w:ind w:left="0" w:hanging="0"/>
        <w:jc w:val="left"/>
        <w:rPr/>
      </w:pPr>
      <w:bookmarkStart w:id="37" w:name="current-rov-usage"/>
      <w:r>
        <w:rPr/>
        <w:t>Current ROV Usage</w:t>
      </w:r>
      <w:bookmarkEnd w:id="37"/>
    </w:p>
    <w:p>
      <w:pPr>
        <w:pStyle w:val="Firstparagraph"/>
        <w:bidi w:val="0"/>
        <w:jc w:val="left"/>
        <w:rPr/>
      </w:pPr>
      <w:r>
        <w:rPr/>
        <w:t>Cable repair operations are currently undertaken, where possible, with human-controlled ROVs. With visual contact and direct actuation at the seabed, the ROV is used to identify, cut and grip the cable for retrieval to the surface-vessel. In doing so the need for repeated motions of the ship across the cable is removed, saving time and fuel. Instead, the surface vessel uses dynamic positioning in order to maintain it’s position above the ROV and cable.</w:t>
      </w:r>
    </w:p>
    <w:p>
      <w:pPr>
        <w:pStyle w:val="TextBody"/>
        <w:bidi w:val="0"/>
        <w:spacing w:before="86" w:after="86"/>
        <w:jc w:val="left"/>
        <w:rPr/>
      </w:pPr>
      <w:r>
        <w:rPr/>
        <w:t>While this finer control is a key benefit for ROV use over grapnels, one of the most important benefits is the ability to bury repaired cables in the sea floor using high-powered water jets. 70% of cable damage is caused by man-made activity, of which over a third is a result of fishing activity; another quarter is as a result ship anchors . As such, the ability to protect sub-sea cables in shallower waters by burying them from human intervention is a key parameter in protecting cables from further damage and extending the time between repairs. While this can be completed with a separate plough, this would require more deck space and motion of the surface vessel. Ploughs are also typically extremely heavy pieces of equipment and would make the vessel less efficient overall.</w:t>
      </w:r>
    </w:p>
    <w:p>
      <w:pPr>
        <w:pStyle w:val="TextBody"/>
        <w:bidi w:val="0"/>
        <w:spacing w:before="86" w:after="86"/>
        <w:jc w:val="left"/>
        <w:rPr/>
      </w:pPr>
      <w:r>
        <w:rPr/>
        <w:t xml:space="preserve">The need for fine movement control and actuators with which to manipulate cables has led to box frame vehicles dominating this field, figure </w:t>
      </w:r>
      <w:hyperlink w:anchor="fig:The-HECTOR-7-ROV">
        <w:r>
          <w:rPr>
            <w:rStyle w:val="InternetLink"/>
          </w:rPr>
          <w:t>12</w:t>
        </w:r>
      </w:hyperlink>
      <w:r>
        <w:rPr/>
        <w:t xml:space="preserve"> shows SIMEC Technology’s HECTOR-7 ROV, a typical design for sub-sea cable repair vehicles.</w:t>
      </w:r>
    </w:p>
    <w:p>
      <w:pPr>
        <w:pStyle w:val="FigureWithCaption"/>
        <w:keepNext w:val="true"/>
        <w:suppressLineNumbers/>
        <w:bidi w:val="0"/>
        <w:jc w:val="left"/>
        <w:rPr/>
      </w:pPr>
      <w:r>
        <w:rPr/>
        <w:drawing>
          <wp:inline distT="0" distB="0" distL="0" distR="0">
            <wp:extent cx="3857625" cy="2893060"/>
            <wp:effectExtent l="0" t="0" r="0" b="0"/>
            <wp:docPr id="12" name="img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12" descr=""/>
                    <pic:cNvPicPr>
                      <a:picLocks noChangeAspect="1" noChangeArrowheads="1"/>
                    </pic:cNvPicPr>
                  </pic:nvPicPr>
                  <pic:blipFill>
                    <a:blip r:embed="rId13"/>
                    <a:stretch>
                      <a:fillRect/>
                    </a:stretch>
                  </pic:blipFill>
                  <pic:spPr bwMode="auto">
                    <a:xfrm>
                      <a:off x="0" y="0"/>
                      <a:ext cx="3857625" cy="2893060"/>
                    </a:xfrm>
                    <a:prstGeom prst="rect">
                      <a:avLst/>
                    </a:prstGeom>
                  </pic:spPr>
                </pic:pic>
              </a:graphicData>
            </a:graphic>
          </wp:inline>
        </w:drawing>
      </w:r>
    </w:p>
    <w:p>
      <w:pPr>
        <w:pStyle w:val="FigureCaption"/>
        <w:bidi w:val="0"/>
        <w:jc w:val="left"/>
        <w:rPr/>
      </w:pPr>
      <w:r>
        <w:rPr/>
        <w:t>SIMEC Technology’s HECTOR-7 ROV used on Orange Marine’s Pierre de Fermat, [fig:The-HECTOR-7-ROV]</w:t>
      </w:r>
    </w:p>
    <w:p>
      <w:pPr>
        <w:pStyle w:val="Normal"/>
        <w:bidi w:val="0"/>
        <w:jc w:val="left"/>
        <w:rPr/>
      </w:pPr>
      <w:r>
        <w:rPr/>
        <w:t>Relevant specifications and operating capabilities for sub-sea cable repair ROVs [tab:ROV-specs]</w:t>
      </w:r>
    </w:p>
    <w:tbl>
      <w:tblPr>
        <w:tblW w:w="9360" w:type="dxa"/>
        <w:jc w:val="left"/>
        <w:tblInd w:w="0" w:type="dxa"/>
        <w:tblLayout w:type="fixed"/>
        <w:tblCellMar>
          <w:top w:w="0" w:type="dxa"/>
          <w:left w:w="0" w:type="dxa"/>
          <w:bottom w:w="0" w:type="dxa"/>
          <w:right w:w="0" w:type="dxa"/>
        </w:tblCellMar>
      </w:tblPr>
      <w:tblGrid>
        <w:gridCol w:w="1871"/>
        <w:gridCol w:w="1872"/>
        <w:gridCol w:w="1872"/>
        <w:gridCol w:w="1872"/>
        <w:gridCol w:w="1873"/>
      </w:tblGrid>
      <w:tr>
        <w:trPr>
          <w:tblHeader w:val="true"/>
        </w:trPr>
        <w:tc>
          <w:tcPr>
            <w:tcW w:w="1871" w:type="dxa"/>
            <w:tcBorders/>
          </w:tcPr>
          <w:p>
            <w:pPr>
              <w:pStyle w:val="Normal"/>
              <w:bidi w:val="0"/>
              <w:jc w:val="left"/>
              <w:rPr/>
            </w:pPr>
            <w:r>
              <w:rPr/>
            </w:r>
          </w:p>
        </w:tc>
        <w:tc>
          <w:tcPr>
            <w:tcW w:w="1872" w:type="dxa"/>
            <w:tcBorders/>
          </w:tcPr>
          <w:p>
            <w:pPr>
              <w:pStyle w:val="TableHeading"/>
              <w:bidi w:val="0"/>
              <w:jc w:val="center"/>
              <w:rPr>
                <w:b/>
                <w:b/>
                <w:bCs/>
              </w:rPr>
            </w:pPr>
            <w:r>
              <w:rPr>
                <w:b/>
                <w:bCs/>
              </w:rPr>
              <w:t>HECTOR-7</w:t>
            </w:r>
          </w:p>
        </w:tc>
        <w:tc>
          <w:tcPr>
            <w:tcW w:w="1872" w:type="dxa"/>
            <w:tcBorders/>
          </w:tcPr>
          <w:p>
            <w:pPr>
              <w:pStyle w:val="TableHeading"/>
              <w:bidi w:val="0"/>
              <w:jc w:val="center"/>
              <w:rPr>
                <w:b/>
                <w:b/>
                <w:bCs/>
              </w:rPr>
            </w:pPr>
            <w:r>
              <w:rPr>
                <w:b/>
                <w:bCs/>
              </w:rPr>
              <w:t>Atlas</w:t>
            </w:r>
          </w:p>
        </w:tc>
        <w:tc>
          <w:tcPr>
            <w:tcW w:w="1872" w:type="dxa"/>
            <w:tcBorders/>
          </w:tcPr>
          <w:p>
            <w:pPr>
              <w:pStyle w:val="TableHeading"/>
              <w:bidi w:val="0"/>
              <w:jc w:val="center"/>
              <w:rPr>
                <w:b/>
                <w:b/>
                <w:bCs/>
              </w:rPr>
            </w:pPr>
            <w:r>
              <w:rPr>
                <w:b/>
                <w:bCs/>
              </w:rPr>
              <w:t>ST200</w:t>
            </w:r>
          </w:p>
        </w:tc>
        <w:tc>
          <w:tcPr>
            <w:tcW w:w="1873" w:type="dxa"/>
            <w:tcBorders/>
          </w:tcPr>
          <w:p>
            <w:pPr>
              <w:pStyle w:val="TableHeading"/>
              <w:bidi w:val="0"/>
              <w:jc w:val="center"/>
              <w:rPr>
                <w:b/>
                <w:b/>
                <w:bCs/>
              </w:rPr>
            </w:pPr>
            <w:r>
              <w:rPr>
                <w:b/>
                <w:bCs/>
              </w:rPr>
              <w:t>QTrencher 600</w:t>
            </w:r>
          </w:p>
        </w:tc>
      </w:tr>
      <w:tr>
        <w:trPr/>
        <w:tc>
          <w:tcPr>
            <w:tcW w:w="1871" w:type="dxa"/>
            <w:tcBorders/>
          </w:tcPr>
          <w:p>
            <w:pPr>
              <w:pStyle w:val="TableContents"/>
              <w:bidi w:val="0"/>
              <w:jc w:val="center"/>
              <w:rPr>
                <w:b/>
                <w:b/>
                <w:bCs/>
              </w:rPr>
            </w:pPr>
            <w:r>
              <w:rPr>
                <w:b/>
                <w:bCs/>
              </w:rPr>
              <w:t>Company</w:t>
            </w:r>
          </w:p>
        </w:tc>
        <w:tc>
          <w:tcPr>
            <w:tcW w:w="1872" w:type="dxa"/>
            <w:tcBorders/>
          </w:tcPr>
          <w:p>
            <w:pPr>
              <w:pStyle w:val="TableContents"/>
              <w:bidi w:val="0"/>
              <w:jc w:val="center"/>
              <w:rPr/>
            </w:pPr>
            <w:r>
              <w:rPr/>
              <w:t>SIMEC Technology</w:t>
            </w:r>
          </w:p>
        </w:tc>
        <w:tc>
          <w:tcPr>
            <w:tcW w:w="3744" w:type="dxa"/>
            <w:gridSpan w:val="2"/>
            <w:tcBorders/>
          </w:tcPr>
          <w:p>
            <w:pPr>
              <w:pStyle w:val="Normal"/>
              <w:bidi w:val="0"/>
              <w:jc w:val="center"/>
              <w:rPr/>
            </w:pPr>
            <w:r>
              <w:rPr/>
              <w:t>Global Marine</w:t>
            </w:r>
          </w:p>
        </w:tc>
        <w:tc>
          <w:tcPr>
            <w:tcW w:w="1873" w:type="dxa"/>
            <w:tcBorders/>
          </w:tcPr>
          <w:p>
            <w:pPr>
              <w:pStyle w:val="TableContents"/>
              <w:bidi w:val="0"/>
              <w:jc w:val="center"/>
              <w:rPr/>
            </w:pPr>
            <w:r>
              <w:rPr/>
              <w:t>SMD</w:t>
            </w:r>
          </w:p>
        </w:tc>
      </w:tr>
      <w:tr>
        <w:trPr/>
        <w:tc>
          <w:tcPr>
            <w:tcW w:w="1871" w:type="dxa"/>
            <w:vMerge w:val="restart"/>
            <w:tcBorders/>
          </w:tcPr>
          <w:p>
            <w:pPr>
              <w:pStyle w:val="TableContents"/>
              <w:bidi w:val="0"/>
              <w:jc w:val="center"/>
              <w:rPr>
                <w:b/>
                <w:b/>
                <w:bCs/>
              </w:rPr>
            </w:pPr>
            <w:r>
              <w:rPr>
                <w:b/>
                <w:bCs/>
              </w:rPr>
              <w:t>Vessel</w:t>
            </w:r>
          </w:p>
        </w:tc>
        <w:tc>
          <w:tcPr>
            <w:tcW w:w="1872" w:type="dxa"/>
            <w:vMerge w:val="restart"/>
            <w:tcBorders/>
          </w:tcPr>
          <w:p>
            <w:pPr>
              <w:pStyle w:val="TableContents"/>
              <w:bidi w:val="0"/>
              <w:jc w:val="center"/>
              <w:rPr/>
            </w:pPr>
            <w:r>
              <w:rPr/>
              <w:t>Pierre de Fermat</w:t>
            </w:r>
          </w:p>
        </w:tc>
        <w:tc>
          <w:tcPr>
            <w:tcW w:w="1872" w:type="dxa"/>
            <w:tcBorders/>
          </w:tcPr>
          <w:p>
            <w:pPr>
              <w:pStyle w:val="TableContents"/>
              <w:bidi w:val="0"/>
              <w:jc w:val="center"/>
              <w:rPr/>
            </w:pPr>
            <w:r>
              <w:rPr/>
              <w:t>Wave Sentinel</w:t>
            </w:r>
          </w:p>
        </w:tc>
        <w:tc>
          <w:tcPr>
            <w:tcW w:w="1872" w:type="dxa"/>
            <w:vMerge w:val="restart"/>
            <w:tcBorders/>
          </w:tcPr>
          <w:p>
            <w:pPr>
              <w:pStyle w:val="TableContents"/>
              <w:bidi w:val="0"/>
              <w:jc w:val="center"/>
              <w:rPr/>
            </w:pPr>
            <w:r>
              <w:rPr/>
              <w:t>Cable Innovator</w:t>
            </w:r>
          </w:p>
        </w:tc>
        <w:tc>
          <w:tcPr>
            <w:tcW w:w="1873" w:type="dxa"/>
            <w:vMerge w:val="restart"/>
            <w:tcBorders/>
          </w:tcPr>
          <w:p>
            <w:pPr>
              <w:pStyle w:val="TableContents"/>
              <w:bidi w:val="0"/>
              <w:jc w:val="center"/>
              <w:rPr/>
            </w:pPr>
            <w:r>
              <w:rPr/>
              <w:t>N/A</w:t>
            </w:r>
          </w:p>
        </w:tc>
      </w:tr>
      <w:tr>
        <w:trPr/>
        <w:tc>
          <w:tcPr>
            <w:tcW w:w="1871" w:type="dxa"/>
            <w:vMerge w:val="continue"/>
            <w:tcBorders/>
          </w:tcPr>
          <w:p>
            <w:pPr>
              <w:pStyle w:val="Normal"/>
              <w:bidi w:val="0"/>
              <w:jc w:val="left"/>
              <w:rPr/>
            </w:pPr>
            <w:r>
              <w:rPr/>
            </w:r>
          </w:p>
        </w:tc>
        <w:tc>
          <w:tcPr>
            <w:tcW w:w="1872" w:type="dxa"/>
            <w:vMerge w:val="continue"/>
            <w:tcBorders/>
          </w:tcPr>
          <w:p>
            <w:pPr>
              <w:pStyle w:val="Normal"/>
              <w:bidi w:val="0"/>
              <w:jc w:val="left"/>
              <w:rPr/>
            </w:pPr>
            <w:r>
              <w:rPr/>
            </w:r>
          </w:p>
        </w:tc>
        <w:tc>
          <w:tcPr>
            <w:tcW w:w="1872" w:type="dxa"/>
            <w:tcBorders/>
          </w:tcPr>
          <w:p>
            <w:pPr>
              <w:pStyle w:val="TableContents"/>
              <w:bidi w:val="0"/>
              <w:jc w:val="center"/>
              <w:rPr/>
            </w:pPr>
            <w:r>
              <w:rPr/>
              <w:t>C.S Sovereign</w:t>
            </w:r>
          </w:p>
        </w:tc>
        <w:tc>
          <w:tcPr>
            <w:tcW w:w="1872" w:type="dxa"/>
            <w:vMerge w:val="continue"/>
            <w:tcBorders/>
          </w:tcPr>
          <w:p>
            <w:pPr>
              <w:pStyle w:val="Normal"/>
              <w:bidi w:val="0"/>
              <w:jc w:val="left"/>
              <w:rPr/>
            </w:pPr>
            <w:r>
              <w:rPr/>
            </w:r>
          </w:p>
        </w:tc>
        <w:tc>
          <w:tcPr>
            <w:tcW w:w="1873" w:type="dxa"/>
            <w:vMerge w:val="continue"/>
            <w:tcBorders/>
          </w:tcPr>
          <w:p>
            <w:pPr>
              <w:pStyle w:val="Normal"/>
              <w:bidi w:val="0"/>
              <w:jc w:val="left"/>
              <w:rPr/>
            </w:pPr>
            <w:r>
              <w:rPr/>
            </w:r>
          </w:p>
        </w:tc>
      </w:tr>
      <w:tr>
        <w:trPr/>
        <w:tc>
          <w:tcPr>
            <w:tcW w:w="1871" w:type="dxa"/>
            <w:tcBorders/>
          </w:tcPr>
          <w:p>
            <w:pPr>
              <w:pStyle w:val="TableContents"/>
              <w:bidi w:val="0"/>
              <w:jc w:val="center"/>
              <w:rPr>
                <w:b/>
                <w:b/>
                <w:bCs/>
              </w:rPr>
            </w:pPr>
            <w:r>
              <w:rPr>
                <w:b/>
                <w:bCs/>
              </w:rPr>
              <w:t>Depth Rating</w:t>
            </w:r>
          </w:p>
        </w:tc>
        <w:tc>
          <w:tcPr>
            <w:tcW w:w="1872" w:type="dxa"/>
            <w:tcBorders/>
          </w:tcPr>
          <w:p>
            <w:pPr>
              <w:pStyle w:val="TableContents"/>
              <w:bidi w:val="0"/>
              <w:jc w:val="center"/>
              <w:rPr/>
            </w:pPr>
            <w:r>
              <w:rPr/>
              <w:t>3,000 m</w:t>
            </w:r>
          </w:p>
        </w:tc>
        <w:tc>
          <w:tcPr>
            <w:tcW w:w="1872" w:type="dxa"/>
            <w:tcBorders/>
          </w:tcPr>
          <w:p>
            <w:pPr>
              <w:pStyle w:val="TableContents"/>
              <w:bidi w:val="0"/>
              <w:jc w:val="center"/>
              <w:rPr/>
            </w:pPr>
            <w:r>
              <w:rPr/>
              <w:t>2,000 m</w:t>
            </w:r>
          </w:p>
        </w:tc>
        <w:tc>
          <w:tcPr>
            <w:tcW w:w="1872" w:type="dxa"/>
            <w:tcBorders/>
          </w:tcPr>
          <w:p>
            <w:pPr>
              <w:pStyle w:val="TableContents"/>
              <w:bidi w:val="0"/>
              <w:jc w:val="center"/>
              <w:rPr/>
            </w:pPr>
            <w:r>
              <w:rPr/>
              <w:t>2,500 m</w:t>
            </w:r>
          </w:p>
        </w:tc>
        <w:tc>
          <w:tcPr>
            <w:tcW w:w="1873" w:type="dxa"/>
            <w:tcBorders/>
          </w:tcPr>
          <w:p>
            <w:pPr>
              <w:pStyle w:val="TableContents"/>
              <w:bidi w:val="0"/>
              <w:jc w:val="center"/>
              <w:rPr/>
            </w:pPr>
            <w:r>
              <w:rPr/>
              <w:t>3,000 m</w:t>
            </w:r>
          </w:p>
        </w:tc>
      </w:tr>
      <w:tr>
        <w:trPr/>
        <w:tc>
          <w:tcPr>
            <w:tcW w:w="1871" w:type="dxa"/>
            <w:tcBorders/>
          </w:tcPr>
          <w:p>
            <w:pPr>
              <w:pStyle w:val="TableContents"/>
              <w:bidi w:val="0"/>
              <w:jc w:val="center"/>
              <w:rPr>
                <w:b/>
                <w:b/>
                <w:bCs/>
              </w:rPr>
            </w:pPr>
            <w:r>
              <w:rPr>
                <w:b/>
                <w:bCs/>
              </w:rPr>
              <w:t>Weight in Air</w:t>
            </w:r>
          </w:p>
        </w:tc>
        <w:tc>
          <w:tcPr>
            <w:tcW w:w="1872" w:type="dxa"/>
            <w:tcBorders/>
          </w:tcPr>
          <w:p>
            <w:pPr>
              <w:pStyle w:val="TableContents"/>
              <w:bidi w:val="0"/>
              <w:jc w:val="center"/>
              <w:rPr/>
            </w:pPr>
            <w:r>
              <w:rPr/>
              <w:t>9 t</w:t>
            </w:r>
          </w:p>
        </w:tc>
        <w:tc>
          <w:tcPr>
            <w:tcW w:w="1872" w:type="dxa"/>
            <w:tcBorders/>
          </w:tcPr>
          <w:p>
            <w:pPr>
              <w:pStyle w:val="TableContents"/>
              <w:bidi w:val="0"/>
              <w:jc w:val="center"/>
              <w:rPr/>
            </w:pPr>
            <w:r>
              <w:rPr/>
              <w:t>10.6 t</w:t>
            </w:r>
          </w:p>
        </w:tc>
        <w:tc>
          <w:tcPr>
            <w:tcW w:w="1872" w:type="dxa"/>
            <w:tcBorders/>
          </w:tcPr>
          <w:p>
            <w:pPr>
              <w:pStyle w:val="TableContents"/>
              <w:bidi w:val="0"/>
              <w:jc w:val="center"/>
              <w:rPr/>
            </w:pPr>
            <w:r>
              <w:rPr/>
              <w:t>6.5 t</w:t>
            </w:r>
          </w:p>
        </w:tc>
        <w:tc>
          <w:tcPr>
            <w:tcW w:w="1873" w:type="dxa"/>
            <w:tcBorders/>
          </w:tcPr>
          <w:p>
            <w:pPr>
              <w:pStyle w:val="TableContents"/>
              <w:bidi w:val="0"/>
              <w:jc w:val="center"/>
              <w:rPr/>
            </w:pPr>
            <w:r>
              <w:rPr/>
              <w:t>11 t</w:t>
            </w:r>
          </w:p>
        </w:tc>
      </w:tr>
      <w:tr>
        <w:trPr/>
        <w:tc>
          <w:tcPr>
            <w:tcW w:w="1871" w:type="dxa"/>
            <w:tcBorders/>
          </w:tcPr>
          <w:p>
            <w:pPr>
              <w:pStyle w:val="TableContents"/>
              <w:bidi w:val="0"/>
              <w:jc w:val="center"/>
              <w:rPr>
                <w:b/>
                <w:b/>
                <w:bCs/>
              </w:rPr>
            </w:pPr>
            <w:r>
              <w:rPr>
                <w:b/>
                <w:bCs/>
              </w:rPr>
              <w:t>Power</w:t>
            </w:r>
          </w:p>
        </w:tc>
        <w:tc>
          <w:tcPr>
            <w:tcW w:w="1872" w:type="dxa"/>
            <w:tcBorders/>
          </w:tcPr>
          <w:p>
            <w:pPr>
              <w:pStyle w:val="TableContents"/>
              <w:bidi w:val="0"/>
              <w:jc w:val="center"/>
              <w:rPr/>
            </w:pPr>
            <w:r>
              <w:rPr/>
              <w:t>300 kW</w:t>
            </w:r>
          </w:p>
        </w:tc>
        <w:tc>
          <w:tcPr>
            <w:tcW w:w="1872" w:type="dxa"/>
            <w:tcBorders/>
          </w:tcPr>
          <w:p>
            <w:pPr>
              <w:pStyle w:val="TableContents"/>
              <w:bidi w:val="0"/>
              <w:jc w:val="center"/>
              <w:rPr/>
            </w:pPr>
            <w:r>
              <w:rPr/>
              <w:t>300 kW</w:t>
            </w:r>
          </w:p>
        </w:tc>
        <w:tc>
          <w:tcPr>
            <w:tcW w:w="1872" w:type="dxa"/>
            <w:tcBorders/>
          </w:tcPr>
          <w:p>
            <w:pPr>
              <w:pStyle w:val="TableContents"/>
              <w:bidi w:val="0"/>
              <w:jc w:val="center"/>
              <w:rPr/>
            </w:pPr>
            <w:r>
              <w:rPr/>
              <w:t>-</w:t>
            </w:r>
          </w:p>
        </w:tc>
        <w:tc>
          <w:tcPr>
            <w:tcW w:w="1873" w:type="dxa"/>
            <w:tcBorders/>
          </w:tcPr>
          <w:p>
            <w:pPr>
              <w:pStyle w:val="TableContents"/>
              <w:bidi w:val="0"/>
              <w:jc w:val="center"/>
              <w:rPr/>
            </w:pPr>
            <w:r>
              <w:rPr/>
              <w:t>450 kW</w:t>
            </w:r>
          </w:p>
        </w:tc>
      </w:tr>
      <w:tr>
        <w:trPr/>
        <w:tc>
          <w:tcPr>
            <w:tcW w:w="1871" w:type="dxa"/>
            <w:tcBorders/>
          </w:tcPr>
          <w:p>
            <w:pPr>
              <w:pStyle w:val="TableContents"/>
              <w:bidi w:val="0"/>
              <w:jc w:val="center"/>
              <w:rPr>
                <w:b/>
                <w:b/>
                <w:bCs/>
              </w:rPr>
            </w:pPr>
            <w:r>
              <w:rPr>
                <w:b/>
                <w:bCs/>
              </w:rPr>
              <w:t>Burial Depth</w:t>
            </w:r>
          </w:p>
        </w:tc>
        <w:tc>
          <w:tcPr>
            <w:tcW w:w="1872" w:type="dxa"/>
            <w:tcBorders/>
          </w:tcPr>
          <w:p>
            <w:pPr>
              <w:pStyle w:val="TableContents"/>
              <w:bidi w:val="0"/>
              <w:jc w:val="center"/>
              <w:rPr/>
            </w:pPr>
            <w:r>
              <w:rPr/>
              <w:t>2 m</w:t>
            </w:r>
          </w:p>
        </w:tc>
        <w:tc>
          <w:tcPr>
            <w:tcW w:w="1872" w:type="dxa"/>
            <w:tcBorders/>
          </w:tcPr>
          <w:p>
            <w:pPr>
              <w:pStyle w:val="TableContents"/>
              <w:bidi w:val="0"/>
              <w:jc w:val="center"/>
              <w:rPr/>
            </w:pPr>
            <w:r>
              <w:rPr/>
              <w:t>2 m</w:t>
            </w:r>
          </w:p>
        </w:tc>
        <w:tc>
          <w:tcPr>
            <w:tcW w:w="1872" w:type="dxa"/>
            <w:tcBorders/>
          </w:tcPr>
          <w:p>
            <w:pPr>
              <w:pStyle w:val="TableContents"/>
              <w:bidi w:val="0"/>
              <w:jc w:val="center"/>
              <w:rPr/>
            </w:pPr>
            <w:r>
              <w:rPr/>
              <w:t>1.5 m</w:t>
            </w:r>
          </w:p>
        </w:tc>
        <w:tc>
          <w:tcPr>
            <w:tcW w:w="1873" w:type="dxa"/>
            <w:tcBorders/>
          </w:tcPr>
          <w:p>
            <w:pPr>
              <w:pStyle w:val="TableContents"/>
              <w:bidi w:val="0"/>
              <w:jc w:val="center"/>
              <w:rPr/>
            </w:pPr>
            <w:r>
              <w:rPr/>
              <w:t>3 m</w:t>
            </w:r>
          </w:p>
        </w:tc>
      </w:tr>
    </w:tbl>
    <w:p>
      <w:pPr>
        <w:pStyle w:val="Firstparagraph"/>
        <w:bidi w:val="0"/>
        <w:jc w:val="left"/>
        <w:rPr/>
      </w:pPr>
      <w:r>
        <w:rPr/>
      </w:r>
    </w:p>
    <w:p>
      <w:pPr>
        <w:pStyle w:val="TextBody"/>
        <w:bidi w:val="0"/>
        <w:spacing w:before="86" w:after="86"/>
        <w:jc w:val="left"/>
        <w:rPr/>
      </w:pPr>
      <w:r>
        <w:rPr/>
        <w:t xml:space="preserve">Table </w:t>
      </w:r>
      <w:hyperlink w:anchor="tab:ROV-specs">
        <w:r>
          <w:rPr>
            <w:rStyle w:val="InternetLink"/>
          </w:rPr>
          <w:t>4</w:t>
        </w:r>
      </w:hyperlink>
      <w:r>
        <w:rPr/>
        <w:t xml:space="preserve"> lists the specifications for the ROVs currently being used as part of the ACMA cable repair agreement along with similarly classed vehicles from other providers. As can be seen, current ROVs for this domain have a maximum working depth of about 3 km. This poses a problem to cable repair operations where, further out to sea, the sea floor can extend much further, see figure . While ROVs could be capable, in theory, of reaching lower depths it is important to balance these working capabilities with other considerations such as price and weight. In practice, this working depth is a reasonable range to work within, it could be argued that the most important capability of current ROVs is their ability to re-bury the cable post-repair. As described previously, this is in order to protect the cable from human intervention including fishing and anchor operations. These incidents are more prevalent in shallower waters within the operating range of the ROV, therefore it is acceptable to use a grapnel outside of this operating range where burying the cable is less important.</w:t>
      </w:r>
    </w:p>
    <w:p>
      <w:pPr>
        <w:pStyle w:val="Heading6"/>
        <w:tabs>
          <w:tab w:val="clear" w:pos="709"/>
          <w:tab w:val="left" w:pos="0" w:leader="none"/>
        </w:tabs>
        <w:bidi w:val="0"/>
        <w:ind w:left="0" w:hanging="0"/>
        <w:jc w:val="left"/>
        <w:rPr/>
      </w:pPr>
      <w:bookmarkStart w:id="38" w:name="requirements-specification"/>
      <w:r>
        <w:rPr/>
        <w:t>Requirements Specification</w:t>
      </w:r>
      <w:bookmarkEnd w:id="38"/>
    </w:p>
    <w:p>
      <w:pPr>
        <w:pStyle w:val="Firstparagraph"/>
        <w:bidi w:val="0"/>
        <w:jc w:val="left"/>
        <w:rPr/>
      </w:pPr>
      <w:r>
        <w:rPr/>
        <w:t>Using this information the requirements for a cable repair UUV could be described as the following,</w:t>
      </w:r>
    </w:p>
    <w:p>
      <w:pPr>
        <w:pStyle w:val="TextBody"/>
        <w:numPr>
          <w:ilvl w:val="0"/>
          <w:numId w:val="7"/>
        </w:numPr>
        <w:bidi w:val="0"/>
        <w:jc w:val="left"/>
        <w:rPr/>
      </w:pPr>
      <w:r>
        <w:rPr/>
        <w:t>The UUV should have actuators in order to both cut and grip cables</w:t>
      </w:r>
    </w:p>
    <w:p>
      <w:pPr>
        <w:pStyle w:val="TextBody"/>
        <w:numPr>
          <w:ilvl w:val="0"/>
          <w:numId w:val="7"/>
        </w:numPr>
        <w:bidi w:val="0"/>
        <w:jc w:val="left"/>
        <w:rPr/>
      </w:pPr>
      <w:r>
        <w:rPr/>
        <w:t>The UUV should be able to operate to at least 2 km of depth</w:t>
      </w:r>
    </w:p>
    <w:p>
      <w:pPr>
        <w:pStyle w:val="TextBody"/>
        <w:numPr>
          <w:ilvl w:val="0"/>
          <w:numId w:val="7"/>
        </w:numPr>
        <w:bidi w:val="0"/>
        <w:jc w:val="left"/>
        <w:rPr/>
      </w:pPr>
      <w:r>
        <w:rPr/>
        <w:t>The UUV should be able to locate the cable without visual information i.e. electromagnetically</w:t>
      </w:r>
    </w:p>
    <w:p>
      <w:pPr>
        <w:pStyle w:val="TextBody"/>
        <w:numPr>
          <w:ilvl w:val="1"/>
          <w:numId w:val="7"/>
        </w:numPr>
        <w:bidi w:val="0"/>
        <w:jc w:val="left"/>
        <w:rPr/>
      </w:pPr>
      <w:r>
        <w:rPr/>
        <w:t>In shallower water the cable is buried and will not be able to be visually identified</w:t>
      </w:r>
    </w:p>
    <w:p>
      <w:pPr>
        <w:pStyle w:val="TextBody"/>
        <w:numPr>
          <w:ilvl w:val="0"/>
          <w:numId w:val="7"/>
        </w:numPr>
        <w:bidi w:val="0"/>
        <w:jc w:val="left"/>
        <w:rPr/>
      </w:pPr>
      <w:r>
        <w:rPr/>
        <w:t>The UUV should be able to re-bury the cable in shallower waters</w:t>
      </w:r>
    </w:p>
    <w:p>
      <w:pPr>
        <w:pStyle w:val="TextBody"/>
        <w:numPr>
          <w:ilvl w:val="1"/>
          <w:numId w:val="7"/>
        </w:numPr>
        <w:bidi w:val="0"/>
        <w:jc w:val="left"/>
        <w:rPr/>
      </w:pPr>
      <w:r>
        <w:rPr/>
        <w:t>This should provide more protection to the cable from interference including fishing operations</w:t>
      </w:r>
    </w:p>
    <w:p>
      <w:pPr>
        <w:pStyle w:val="Heading5"/>
        <w:tabs>
          <w:tab w:val="clear" w:pos="709"/>
          <w:tab w:val="left" w:pos="0" w:leader="none"/>
        </w:tabs>
        <w:bidi w:val="0"/>
        <w:ind w:left="0" w:hanging="0"/>
        <w:jc w:val="left"/>
        <w:rPr/>
      </w:pPr>
      <w:bookmarkStart w:id="39" w:name="current-auv-usage"/>
      <w:r>
        <w:rPr/>
        <w:t>Current AUV Usage</w:t>
      </w:r>
      <w:bookmarkEnd w:id="39"/>
    </w:p>
    <w:p>
      <w:pPr>
        <w:pStyle w:val="Firstparagraph"/>
        <w:bidi w:val="0"/>
        <w:jc w:val="left"/>
        <w:rPr/>
      </w:pPr>
      <w:r>
        <w:rPr/>
        <w:t>Autonomous underwater vehicles are well suited to survey and research operations; without human intervention they sweep a given area collecting data for analysis. This can include bathymetry</w:t>
      </w:r>
      <w:r>
        <w:rPr>
          <w:rStyle w:val="FootnoteAnchor"/>
        </w:rPr>
        <w:footnoteReference w:id="3"/>
      </w:r>
      <w:r>
        <w:rPr/>
        <w:t>, surveys and chemical composition investigations such as pH and toxin levels.</w:t>
      </w:r>
    </w:p>
    <w:p>
      <w:pPr>
        <w:pStyle w:val="FigureWithCaption"/>
        <w:keepNext w:val="true"/>
        <w:suppressLineNumbers/>
        <w:bidi w:val="0"/>
        <w:jc w:val="left"/>
        <w:rPr/>
      </w:pPr>
      <w:r>
        <w:rPr/>
        <w:drawing>
          <wp:inline distT="0" distB="0" distL="0" distR="0">
            <wp:extent cx="5682615" cy="1142365"/>
            <wp:effectExtent l="0" t="0" r="0" b="0"/>
            <wp:docPr id="13" name="img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13" descr=""/>
                    <pic:cNvPicPr>
                      <a:picLocks noChangeAspect="1" noChangeArrowheads="1"/>
                    </pic:cNvPicPr>
                  </pic:nvPicPr>
                  <pic:blipFill>
                    <a:blip r:embed="rId14"/>
                    <a:stretch>
                      <a:fillRect/>
                    </a:stretch>
                  </pic:blipFill>
                  <pic:spPr bwMode="auto">
                    <a:xfrm>
                      <a:off x="0" y="0"/>
                      <a:ext cx="5682615" cy="1142365"/>
                    </a:xfrm>
                    <a:prstGeom prst="rect">
                      <a:avLst/>
                    </a:prstGeom>
                  </pic:spPr>
                </pic:pic>
              </a:graphicData>
            </a:graphic>
          </wp:inline>
        </w:drawing>
      </w:r>
    </w:p>
    <w:p>
      <w:pPr>
        <w:pStyle w:val="FigureCaption"/>
        <w:bidi w:val="0"/>
        <w:jc w:val="left"/>
        <w:rPr/>
      </w:pPr>
      <w:r>
        <w:rPr/>
        <w:t xml:space="preserve">Kongsberg Maritime’s HUGIN Superior AUV, </w:t>
      </w:r>
    </w:p>
    <w:p>
      <w:pPr>
        <w:pStyle w:val="Heading5"/>
        <w:tabs>
          <w:tab w:val="clear" w:pos="709"/>
          <w:tab w:val="left" w:pos="0" w:leader="none"/>
        </w:tabs>
        <w:bidi w:val="0"/>
        <w:ind w:left="0" w:hanging="0"/>
        <w:jc w:val="left"/>
        <w:rPr/>
      </w:pPr>
      <w:bookmarkStart w:id="40" w:name="advantages"/>
      <w:r>
        <w:rPr/>
        <w:t>Advantages</w:t>
      </w:r>
      <w:bookmarkEnd w:id="40"/>
    </w:p>
    <w:p>
      <w:pPr>
        <w:pStyle w:val="Firstparagraph"/>
        <w:bidi w:val="0"/>
        <w:jc w:val="left"/>
        <w:rPr/>
      </w:pPr>
      <w:r>
        <w:rPr/>
        <w:t>An advantage of using an autonomous vehicle would be the lack of need for the surface vessel to maintain position directly above the ROV and fault; instead the surface vessel would stay within a larger area only to maintain contact with the UUV. This could reduce the required power directed to dynamic positioning which in higher sea states can become a significant draw. Additionally as the UUV can move independently, the surface vehicle would not need to directly track the vehicles movement; for example when the UUV is re-burying the repaired cable in shallower waters. This would, again, lower the required propulsion power used by the surface vessel.</w:t>
      </w:r>
    </w:p>
    <w:p>
      <w:pPr>
        <w:pStyle w:val="TextBody"/>
        <w:bidi w:val="0"/>
        <w:spacing w:before="86" w:after="86"/>
        <w:jc w:val="left"/>
        <w:rPr/>
      </w:pPr>
      <w:r>
        <w:rPr/>
        <w:t>Another advantage could be a reduction in risk during mission operations. With a traditional tethered ROV, should the umbilical cable be broken the vehicle would likely lose functionality and require specialist recovery. This break could occur as a result of a fault in the tether management system, high storm activity causing too much tension on the system, or in less likely scenarios, animal intervention. An autonomous vehicle has no tether to break and a hybrid ROV/AUV could likely be instructed to take control and return home should the tether break during missions involving direct human control.</w:t>
      </w:r>
    </w:p>
    <w:p>
      <w:pPr>
        <w:pStyle w:val="Heading5"/>
        <w:tabs>
          <w:tab w:val="clear" w:pos="709"/>
          <w:tab w:val="left" w:pos="0" w:leader="none"/>
        </w:tabs>
        <w:bidi w:val="0"/>
        <w:ind w:left="0" w:hanging="0"/>
        <w:jc w:val="left"/>
        <w:rPr/>
      </w:pPr>
      <w:bookmarkStart w:id="41" w:name="domain-challenges"/>
      <w:r>
        <w:rPr/>
        <w:t>Domain Challenges</w:t>
      </w:r>
      <w:bookmarkEnd w:id="41"/>
    </w:p>
    <w:p>
      <w:pPr>
        <w:pStyle w:val="Heading6"/>
        <w:tabs>
          <w:tab w:val="clear" w:pos="709"/>
          <w:tab w:val="left" w:pos="0" w:leader="none"/>
        </w:tabs>
        <w:bidi w:val="0"/>
        <w:ind w:left="0" w:hanging="0"/>
        <w:jc w:val="left"/>
        <w:rPr/>
      </w:pPr>
      <w:bookmarkStart w:id="42" w:name="navigation"/>
      <w:r>
        <w:rPr/>
        <w:t>Navigation</w:t>
      </w:r>
      <w:bookmarkEnd w:id="42"/>
    </w:p>
    <w:p>
      <w:pPr>
        <w:pStyle w:val="Firstparagraph"/>
        <w:bidi w:val="0"/>
        <w:jc w:val="left"/>
        <w:rPr/>
      </w:pPr>
      <w:r>
        <w:rPr/>
        <w:t>As mentioned, one of the main advantages of using an autonomous vehicle for sub-sea cable repairs would be the physical de-coupling of the vehicles, however this also poses the most significant challenge. In typical ROV operations, the operator has knowledge of the location of the ROV relative to the surface vessel. As the surface vessel is GNSS</w:t>
      </w:r>
      <w:r>
        <w:rPr>
          <w:rStyle w:val="FootnoteAnchor"/>
        </w:rPr>
        <w:footnoteReference w:id="4"/>
      </w:r>
      <w:r>
        <w:rPr/>
        <w:t>-enabled (Likely GPS) it has knowledge of its position in world co-ordinates and the operator can use this to reduce the ROV’s cable search space.</w:t>
      </w:r>
    </w:p>
    <w:p>
      <w:pPr>
        <w:pStyle w:val="TextBody"/>
        <w:bidi w:val="0"/>
        <w:spacing w:before="86" w:after="86"/>
        <w:jc w:val="left"/>
        <w:rPr/>
      </w:pPr>
      <w:r>
        <w:rPr/>
        <w:t xml:space="preserve">Decoupling the vehicles introduces complications that are not necessarily typical to the existing use cases for AUVs. The frequency of EM waves used by GNSS systems do not penetrate deep through the water and an AUV must be able to operate without world co-ordinates provided in this manner. As such, navigation systems used by AUVs are typically </w:t>
      </w:r>
      <w:r>
        <w:rPr>
          <w:i/>
          <w:iCs/>
        </w:rPr>
        <w:t>dead reckoning</w:t>
      </w:r>
      <w:r>
        <w:rPr/>
        <w:t xml:space="preserve"> systems. This is a form of navigation that operates relative to a known fixed point (where a UUV is deployed for example) as opposed to one relative to world co-ordinates.</w:t>
      </w:r>
    </w:p>
    <w:p>
      <w:pPr>
        <w:pStyle w:val="TextBody"/>
        <w:bidi w:val="0"/>
        <w:spacing w:before="86" w:after="86"/>
        <w:jc w:val="left"/>
        <w:rPr/>
      </w:pPr>
      <w:r>
        <w:rPr/>
        <w:t>With an accurate system, this will satisfy many surveying and research use cases where relative location data can be transformed to world-coordinates after the fact. This will prove less effective when the vehicle is expected to autonomously navigate to a specific location (the cable fault). A dead reckoning system as described above uses relative sensors to measure it’s speed and infer it’s current location however these relative sensors have associated measurement errors which accumulate over time. This would be more pronounced under the water where sea currents are liable to accentuate these errors, the efficacy of an AUV’s fault location capabilities may be reduced to the point of unacceptability.</w:t>
      </w:r>
    </w:p>
    <w:p>
      <w:pPr>
        <w:pStyle w:val="Heading6"/>
        <w:tabs>
          <w:tab w:val="clear" w:pos="709"/>
          <w:tab w:val="left" w:pos="0" w:leader="none"/>
        </w:tabs>
        <w:bidi w:val="0"/>
        <w:ind w:left="0" w:hanging="0"/>
        <w:jc w:val="left"/>
        <w:rPr/>
      </w:pPr>
      <w:bookmarkStart w:id="43" w:name="launch-recovery"/>
      <w:r>
        <w:rPr/>
        <w:t>Launch &amp; Recovery</w:t>
      </w:r>
      <w:bookmarkEnd w:id="43"/>
    </w:p>
    <w:p>
      <w:pPr>
        <w:pStyle w:val="Firstparagraph"/>
        <w:bidi w:val="0"/>
        <w:jc w:val="left"/>
        <w:rPr/>
      </w:pPr>
      <w:r>
        <w:rPr/>
        <w:t xml:space="preserve">By allowing the UUV to operate untethered underwater, complications are introduced to the method by which it is launched and recovered to the surface vessel. A tethered ROV of the size being considered typically has a top-hat tether management system (TMS) responsible for controlling the slack in the umbilical cable, an example can be seen in figure </w:t>
      </w:r>
      <w:hyperlink w:anchor="fig:top-hat-tether">
        <w:r>
          <w:rPr>
            <w:rStyle w:val="InternetLink"/>
          </w:rPr>
          <w:t>13</w:t>
        </w:r>
      </w:hyperlink>
      <w:r>
        <w:rPr/>
        <w:t>. Smaller vehicles can also use a garage-style TMS where the tether attaches to a box-like cradle that houses the UUV within.</w:t>
      </w:r>
    </w:p>
    <w:p>
      <w:pPr>
        <w:pStyle w:val="FigureWithCaption"/>
        <w:keepNext w:val="true"/>
        <w:suppressLineNumbers/>
        <w:bidi w:val="0"/>
        <w:jc w:val="left"/>
        <w:rPr/>
      </w:pPr>
      <w:r>
        <w:rPr/>
        <w:drawing>
          <wp:inline distT="0" distB="0" distL="0" distR="0">
            <wp:extent cx="3427730" cy="4117340"/>
            <wp:effectExtent l="0" t="0" r="0" b="0"/>
            <wp:docPr id="14" name="img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14" descr=""/>
                    <pic:cNvPicPr>
                      <a:picLocks noChangeAspect="1" noChangeArrowheads="1"/>
                    </pic:cNvPicPr>
                  </pic:nvPicPr>
                  <pic:blipFill>
                    <a:blip r:embed="rId15"/>
                    <a:stretch>
                      <a:fillRect/>
                    </a:stretch>
                  </pic:blipFill>
                  <pic:spPr bwMode="auto">
                    <a:xfrm>
                      <a:off x="0" y="0"/>
                      <a:ext cx="3427730" cy="4117340"/>
                    </a:xfrm>
                    <a:prstGeom prst="rect">
                      <a:avLst/>
                    </a:prstGeom>
                  </pic:spPr>
                </pic:pic>
              </a:graphicData>
            </a:graphic>
          </wp:inline>
        </w:drawing>
      </w:r>
    </w:p>
    <w:p>
      <w:pPr>
        <w:pStyle w:val="FigureCaption"/>
        <w:bidi w:val="0"/>
        <w:jc w:val="left"/>
        <w:rPr/>
      </w:pPr>
      <w:r>
        <w:rPr/>
        <w:t>A top-hat tether management system attached to the top of an ROV, [fig:top-hat-tether]</w:t>
      </w:r>
    </w:p>
    <w:p>
      <w:pPr>
        <w:pStyle w:val="TextBody"/>
        <w:bidi w:val="0"/>
        <w:spacing w:before="86" w:after="86"/>
        <w:jc w:val="left"/>
        <w:rPr/>
      </w:pPr>
      <w:r>
        <w:rPr/>
        <w:t xml:space="preserve">This results in the UUV being under control by the surface vessel as it is being lifted from the water, especially during the </w:t>
      </w:r>
      <w:r>
        <w:rPr>
          <w:i/>
          <w:iCs/>
        </w:rPr>
        <w:t>splash zone</w:t>
      </w:r>
      <w:r>
        <w:rPr/>
        <w:t>, the area surrounding the average water level. As the UUV is lifted or dropped through this area and it beings to make contact with the water, the weight load on the crane can change dramatically, . During this period, the UUV is most at risk of damage as wind and sea forces can make it swing towards the surface vessel.</w:t>
      </w:r>
    </w:p>
    <w:p>
      <w:pPr>
        <w:pStyle w:val="TextBody"/>
        <w:bidi w:val="0"/>
        <w:spacing w:before="86" w:after="86"/>
        <w:jc w:val="left"/>
        <w:rPr/>
      </w:pPr>
      <w:r>
        <w:rPr/>
        <w:t>The TMS and LARS system together aim to protect both vessels as the UUV descends through the splash zone by dampening the lateral movement of the UUV and by limiting the amount of umbilical slack; this keeps it away from the surface vessel’s thrusters, .</w:t>
      </w:r>
    </w:p>
    <w:p>
      <w:pPr>
        <w:pStyle w:val="TextBody"/>
        <w:bidi w:val="0"/>
        <w:spacing w:before="86" w:after="86"/>
        <w:jc w:val="left"/>
        <w:rPr/>
      </w:pPr>
      <w:r>
        <w:rPr/>
        <w:t>These methods are effective in protecting tethered UUVs during launch and recovery, the challenge comes in defining how the UUV will be deployed when operating autonomously without a tether.</w:t>
      </w:r>
    </w:p>
    <w:p>
      <w:pPr>
        <w:pStyle w:val="Heading5"/>
        <w:tabs>
          <w:tab w:val="clear" w:pos="709"/>
          <w:tab w:val="left" w:pos="0" w:leader="none"/>
        </w:tabs>
        <w:bidi w:val="0"/>
        <w:ind w:left="0" w:hanging="0"/>
        <w:jc w:val="left"/>
        <w:rPr/>
      </w:pPr>
      <w:bookmarkStart w:id="44" w:name="proposed-design"/>
      <w:r>
        <w:rPr/>
        <w:t>Proposed Design</w:t>
      </w:r>
      <w:bookmarkEnd w:id="44"/>
    </w:p>
    <w:p>
      <w:pPr>
        <w:pStyle w:val="Firstparagraph"/>
        <w:bidi w:val="0"/>
        <w:jc w:val="left"/>
        <w:rPr/>
      </w:pPr>
      <w:r>
        <w:rPr/>
        <w:t>The vehicle will be designed for hybrid ROV/AUV operations. The vehicle should be able to complete missions independently of the surface vessel with the ability to operate in a similar fashion to existing ROVs (human controller, tethered power and data connection). This will have a number of benefits, primarily that the vehicle should be able to benefit from autonomous operation where possible with the ability for direct human control in missions deemed to complex for autonomous control.</w:t>
      </w:r>
    </w:p>
    <w:p>
      <w:pPr>
        <w:pStyle w:val="TextBody"/>
        <w:bidi w:val="0"/>
        <w:spacing w:before="86" w:after="86"/>
        <w:jc w:val="left"/>
        <w:rPr/>
      </w:pPr>
      <w:r>
        <w:rPr/>
        <w:t>The existing remit of AUV operations is primarily survey, inspection and light intervention, it is likely that the autonomous capabilities of this vehicle would not be capable of conducting all existing cable repair missions which involve a lot more involved intervention. It is important that enabling autonomous operations does not ultimately reduce it’s operating capabilities.</w:t>
      </w:r>
    </w:p>
    <w:p>
      <w:pPr>
        <w:pStyle w:val="TextBody"/>
        <w:bidi w:val="0"/>
        <w:spacing w:before="86" w:after="86"/>
        <w:jc w:val="left"/>
        <w:rPr/>
      </w:pPr>
      <w:r>
        <w:rPr/>
        <w:t>As previously described, box frame UUVs are well suited to sub-sea cable operations where fine movement control and space for actuators are critical. As such a box frame of similar specifications to those currently used, will be used. The vehicle will likely be at the larger and heavier end of existing ROVs as the vehicle must now have the onboard energy capabilities to complete a mission without a constant power supply from the surface vessel.</w:t>
      </w:r>
    </w:p>
    <w:p>
      <w:pPr>
        <w:pStyle w:val="Heading5"/>
        <w:tabs>
          <w:tab w:val="clear" w:pos="709"/>
          <w:tab w:val="left" w:pos="0" w:leader="none"/>
        </w:tabs>
        <w:bidi w:val="0"/>
        <w:ind w:left="0" w:hanging="0"/>
        <w:jc w:val="left"/>
        <w:rPr/>
      </w:pPr>
      <w:bookmarkStart w:id="45" w:name="communication"/>
      <w:r>
        <w:rPr/>
        <w:t>Communication</w:t>
      </w:r>
      <w:bookmarkEnd w:id="45"/>
    </w:p>
    <w:p>
      <w:pPr>
        <w:pStyle w:val="Firstparagraph"/>
        <w:bidi w:val="0"/>
        <w:jc w:val="left"/>
        <w:rPr/>
      </w:pPr>
      <w:r>
        <w:rPr/>
        <w:t xml:space="preserve">As the UUV is now expected to operate independently of the surface vessel, it should have the ability to bi-directionally, wirelessly communicate with the surface vessel. Uses for such a communications channel include the UUV reporting it’s mission status and the surface vessel providing high-level instructions such as </w:t>
      </w:r>
      <w:r>
        <w:rPr>
          <w:i/>
          <w:iCs/>
        </w:rPr>
        <w:t>return home</w:t>
      </w:r>
      <w:r>
        <w:rPr/>
        <w:t xml:space="preserve"> orders. When operating underwater, acoustic signals are the primary medium for wireless communication.</w:t>
      </w:r>
    </w:p>
    <w:p>
      <w:pPr>
        <w:pStyle w:val="Heading5"/>
        <w:tabs>
          <w:tab w:val="clear" w:pos="709"/>
          <w:tab w:val="left" w:pos="0" w:leader="none"/>
        </w:tabs>
        <w:bidi w:val="0"/>
        <w:ind w:left="0" w:hanging="0"/>
        <w:jc w:val="left"/>
        <w:rPr/>
      </w:pPr>
      <w:bookmarkStart w:id="46" w:name="navigationsubsecnavigation"/>
      <w:r>
        <w:rPr/>
        <w:t>Navigation[subsec:Navigation]</w:t>
      </w:r>
      <w:bookmarkEnd w:id="46"/>
    </w:p>
    <w:p>
      <w:pPr>
        <w:pStyle w:val="Firstparagraph"/>
        <w:bidi w:val="0"/>
        <w:jc w:val="left"/>
        <w:rPr/>
      </w:pPr>
      <w:r>
        <w:rPr/>
        <w:t xml:space="preserve">As previously described, the navigation system will primarily be built on the principle of </w:t>
      </w:r>
      <w:r>
        <w:rPr>
          <w:i/>
          <w:iCs/>
        </w:rPr>
        <w:t>dead reckoning</w:t>
      </w:r>
      <w:r>
        <w:rPr/>
        <w:t xml:space="preserve"> using an inertial navigation system (INS). An INS uses input from many types of sensor such as accelerometers and gyroscopes to measure the movement of the vehicle and hence infer it’s location. None of these could individually provide an accurate determination of location and as such </w:t>
      </w:r>
      <w:r>
        <w:rPr>
          <w:i/>
          <w:iCs/>
        </w:rPr>
        <w:t>sensor fusion</w:t>
      </w:r>
      <w:r>
        <w:rPr/>
        <w:t xml:space="preserve"> is employed. Each sensor has an associated measurement uncertainty which compounds over time, sensor fusion allows all the sensor measurements to be combined in such a way as to produce a single output measurement with an uncertainty smaller than any of each sensor individually. A common method for implementing sensor fusion is using a </w:t>
      </w:r>
      <w:r>
        <w:rPr>
          <w:i/>
          <w:iCs/>
        </w:rPr>
        <w:t>Kalman filter</w:t>
      </w:r>
      <w:r>
        <w:rPr/>
        <w:t>.</w:t>
      </w:r>
    </w:p>
    <w:p>
      <w:pPr>
        <w:pStyle w:val="TextBody"/>
        <w:bidi w:val="0"/>
        <w:spacing w:before="86" w:after="86"/>
        <w:jc w:val="left"/>
        <w:rPr/>
      </w:pPr>
      <w:r>
        <w:rPr/>
        <w:t>However, despite the use of a Kalman filter allowing more precise approximations of the vehicles relative location, the lack of external calibrating updates means that the overall uncertainty will still continually increase over time. In land-based robotics this is mitigated through the use of periodic GPS measurements which have low, constant uncertainty and help to place an upper bound on the overall error. As previously mentioned, GNSS systems do not work deep underwater and as such, another method for providing these external updates must be used.</w:t>
      </w:r>
    </w:p>
    <w:p>
      <w:pPr>
        <w:pStyle w:val="TextBody"/>
        <w:bidi w:val="0"/>
        <w:spacing w:before="86" w:after="86"/>
        <w:jc w:val="left"/>
        <w:rPr/>
      </w:pPr>
      <w:r>
        <w:rPr/>
        <w:t>The following proposes methods for providing global positioning to the UUV without a traditional GNSS system. This will be completed in two stages, the first being to provide the UUV with the ability to measure the location of a fixed point relative to itself. In parallel, the global co-ordinates of this fixed point will be communicated to the UUV in order to infer it’s own global location.</w:t>
      </w:r>
    </w:p>
    <w:p>
      <w:pPr>
        <w:pStyle w:val="Heading6"/>
        <w:tabs>
          <w:tab w:val="clear" w:pos="709"/>
          <w:tab w:val="left" w:pos="0" w:leader="none"/>
        </w:tabs>
        <w:bidi w:val="0"/>
        <w:ind w:left="0" w:hanging="0"/>
        <w:jc w:val="left"/>
        <w:rPr/>
      </w:pPr>
      <w:bookmarkStart w:id="47" w:name="underwater-acoustic-positioning"/>
      <w:r>
        <w:rPr/>
        <w:t>Underwater Acoustic Positioning</w:t>
      </w:r>
      <w:bookmarkEnd w:id="47"/>
    </w:p>
    <w:p>
      <w:pPr>
        <w:pStyle w:val="Firstparagraph"/>
        <w:bidi w:val="0"/>
        <w:jc w:val="left"/>
        <w:rPr/>
      </w:pPr>
      <w:r>
        <w:rPr/>
        <w:t xml:space="preserve">Alongside the use of acoustic signals for communications it will also be employed for positioning. One application for this is underwater acoustic positioning which employs the use of time-of-flight measurements to beacons of a known location to triangulate an object’s location. There are different configurations for such a system depending on how these beacons are laid out, </w:t>
      </w:r>
      <w:r>
        <w:rPr>
          <w:i/>
          <w:iCs/>
        </w:rPr>
        <w:t>long-baseline</w:t>
      </w:r>
      <w:r>
        <w:rPr/>
        <w:t xml:space="preserve"> (LBL) systems involve beacons located on the sea floor. Spreading these beacons around the working area of an ROV widens the baseline of the system and provides higher accuracy when triangulating. This configuration is best suited to static areas of research such as ship wrecks where an initial time devoted to deploying and calibrating these underwater beacons is a reasonable expense to pay for the required high accuracy. This is not the case for sub-sea cable repairs where the deployment, calibration and recovery of beacons on the seabed would be prohibitively complex and add significant time to the duration of a mission.</w:t>
      </w:r>
    </w:p>
    <w:p>
      <w:pPr>
        <w:pStyle w:val="TextBody"/>
        <w:bidi w:val="0"/>
        <w:spacing w:before="86" w:after="86"/>
        <w:jc w:val="left"/>
        <w:rPr/>
      </w:pPr>
      <w:r>
        <w:rPr>
          <w:i/>
          <w:iCs/>
        </w:rPr>
        <w:t>Short-baseline</w:t>
      </w:r>
      <w:r>
        <w:rPr/>
        <w:t xml:space="preserve"> (SBL) systems involve a number of beacons placed at the furthest corners of the surface vessel, this has the benefit of requiring little set-up and pack-down at the cost of reduced accuracy. Relative to the UUV these beacons are all on a similar bearing when operating at a distance, as a result changes in the vehicle’s location would be reflected in similar changes to the measurements from all of the beacons. Previously, with a long-baseline, the beacons are ideally surrounding the UUV’s working area and changes in its location are reflected in different distance deltas for each beacon allowing tighter triangulation. Accuracy can be improved by extending the beacons away from the vessel to extend the baseline as far as possible.</w:t>
      </w:r>
    </w:p>
    <w:p>
      <w:pPr>
        <w:pStyle w:val="TextBody"/>
        <w:bidi w:val="0"/>
        <w:spacing w:before="86" w:after="86"/>
        <w:jc w:val="left"/>
        <w:rPr/>
      </w:pPr>
      <w:r>
        <w:rPr/>
        <w:t xml:space="preserve">One method to mitigate the drawbacks of both described methods is by using GPS Intelligent Buoys (GIBs). This configuration, also referred to as an </w:t>
      </w:r>
      <w:r>
        <w:rPr>
          <w:i/>
          <w:iCs/>
        </w:rPr>
        <w:t>inverted long-baseline</w:t>
      </w:r>
      <w:r>
        <w:rPr/>
        <w:t xml:space="preserve">, allows a much wider baseline than the surface-vessel-mounted beacons by deploying a group of </w:t>
      </w:r>
      <w:r>
        <w:rPr>
          <w:i/>
          <w:iCs/>
        </w:rPr>
        <w:t>smart buoys</w:t>
      </w:r>
      <w:r>
        <w:rPr/>
        <w:t xml:space="preserve"> around the expected working area of the UUV. The use of buoys as opposed to beacons on the sea-floor significantly decreases the preparation and clean-up mission phases.</w:t>
      </w:r>
    </w:p>
    <w:p>
      <w:pPr>
        <w:pStyle w:val="TextBody"/>
        <w:bidi w:val="0"/>
        <w:spacing w:before="86" w:after="86"/>
        <w:jc w:val="left"/>
        <w:rPr/>
      </w:pPr>
      <w:r>
        <w:rPr/>
        <w:t>Of these methods it is proposed that the surface vessel be equipped with a short-baseline beacon array as well as a population of GIBs. This will allow the choice between higher accuracy or faster mission turnaround be decided by mission conditions as well as providing redundancy for either system. In shallower waters, the accuracy of the onboard SBL may be deemed sufficient however in deeper water where the UUV is operating far further from the surface vessel, the compactness of the SBL baseline may require the higher accuracy of the GIBs</w:t>
      </w:r>
      <w:r>
        <w:rPr>
          <w:rStyle w:val="FootnoteAnchor"/>
        </w:rPr>
        <w:footnoteReference w:id="5"/>
      </w:r>
      <w:r>
        <w:rPr/>
        <w:t>. The GIBs would be considered additional accuracy, the SBL would be used alongside the GIBs and act as an extra node in the array. Additionally the weather and sea conditions could play a factor in the decision. In higher sea states and stormy weather, the deployment and recovery of GIBs may be deemed too risky and the SBL could be used alone.</w:t>
      </w:r>
    </w:p>
    <w:p>
      <w:pPr>
        <w:pStyle w:val="Heading6"/>
        <w:tabs>
          <w:tab w:val="clear" w:pos="709"/>
          <w:tab w:val="left" w:pos="0" w:leader="none"/>
        </w:tabs>
        <w:bidi w:val="0"/>
        <w:ind w:left="0" w:hanging="0"/>
        <w:jc w:val="left"/>
        <w:rPr/>
      </w:pPr>
      <w:bookmarkStart w:id="48" w:name="global-calibration"/>
      <w:r>
        <w:rPr/>
        <w:t>Global Calibration</w:t>
      </w:r>
      <w:bookmarkEnd w:id="48"/>
    </w:p>
    <w:p>
      <w:pPr>
        <w:pStyle w:val="Firstparagraph"/>
        <w:bidi w:val="0"/>
        <w:jc w:val="left"/>
        <w:rPr/>
      </w:pPr>
      <w:r>
        <w:rPr/>
        <w:t>The above underwater acoustic positioning system will allow the UUV to keep track of it’s position relative to known points at the surface, however this alone will not provide the UUV with its global location. In order for the UUV to calibrate it’s local map to global co-ordinates, the global position of these surface points must be provided. This will be conducted over the previously described acoustic communication channel. As it could be expected that this channel has a low bandwidth, these updates need not be excessively frequent.</w:t>
      </w:r>
    </w:p>
    <w:p>
      <w:pPr>
        <w:pStyle w:val="Heading6"/>
        <w:tabs>
          <w:tab w:val="clear" w:pos="709"/>
          <w:tab w:val="left" w:pos="0" w:leader="none"/>
        </w:tabs>
        <w:bidi w:val="0"/>
        <w:ind w:left="0" w:hanging="0"/>
        <w:jc w:val="left"/>
        <w:rPr/>
      </w:pPr>
      <w:bookmarkStart w:id="49" w:name="acoustic-doppler-current-profiling"/>
      <w:r>
        <w:rPr/>
        <w:t>Acoustic Doppler Current Profiling</w:t>
      </w:r>
      <w:bookmarkEnd w:id="49"/>
    </w:p>
    <w:p>
      <w:pPr>
        <w:pStyle w:val="Firstparagraph"/>
        <w:bidi w:val="0"/>
        <w:jc w:val="left"/>
        <w:rPr/>
      </w:pPr>
      <w:r>
        <w:rPr/>
        <w:t xml:space="preserve">While accelerometers and gyroscopes would be expected components of any mobile dead reckoning navigation system, additional sensors well-suited to sub-sea localisation will allow the vessel’s movement to be more precise. One such sensor is a </w:t>
      </w:r>
      <w:r>
        <w:rPr>
          <w:i/>
          <w:iCs/>
        </w:rPr>
        <w:t>Doppler velocity log</w:t>
      </w:r>
      <w:r>
        <w:rPr/>
        <w:t xml:space="preserve"> (DVL) which estimates the vessel’s velocity by tracking the seabed. DVLs apply the broader concept of </w:t>
      </w:r>
      <w:r>
        <w:rPr>
          <w:i/>
          <w:iCs/>
        </w:rPr>
        <w:t>acoustic Doppler current profiling</w:t>
      </w:r>
      <w:r>
        <w:rPr/>
        <w:t xml:space="preserve"> which measures the velocity of water by measuring the change in frequency caused by the Doppler effect. Combined with depth measurements calculated from the signal’s echo time, this can be used to estimate the vessel’s velocity. DVLs are crucial to a sub-sea INS as, like GPS, their error does not grow when employed correctly unlike other relative sensors. As described in section </w:t>
      </w:r>
      <w:hyperlink w:anchor="subsec:Navigation">
        <w:r>
          <w:rPr>
            <w:rStyle w:val="InternetLink"/>
          </w:rPr>
          <w:t>[subsec:Navigation]</w:t>
        </w:r>
      </w:hyperlink>
      <w:r>
        <w:rPr/>
        <w:t>, a sensor who’s measurement error does not compound and grow but stays constant is important as it places an upper bound on the overall error and allows the system to maintain accuracy over time.</w:t>
      </w:r>
    </w:p>
    <w:p>
      <w:pPr>
        <w:pStyle w:val="Heading5"/>
        <w:tabs>
          <w:tab w:val="clear" w:pos="709"/>
          <w:tab w:val="left" w:pos="0" w:leader="none"/>
        </w:tabs>
        <w:bidi w:val="0"/>
        <w:ind w:left="0" w:hanging="0"/>
        <w:jc w:val="left"/>
        <w:rPr/>
      </w:pPr>
      <w:bookmarkStart w:id="50" w:name="control"/>
      <w:r>
        <w:rPr/>
        <w:t>Control</w:t>
      </w:r>
      <w:bookmarkEnd w:id="50"/>
    </w:p>
    <w:p>
      <w:pPr>
        <w:pStyle w:val="Heading5"/>
        <w:tabs>
          <w:tab w:val="clear" w:pos="709"/>
          <w:tab w:val="left" w:pos="0" w:leader="none"/>
        </w:tabs>
        <w:bidi w:val="0"/>
        <w:ind w:left="0" w:hanging="0"/>
        <w:jc w:val="left"/>
        <w:rPr/>
      </w:pPr>
      <w:bookmarkStart w:id="51" w:name="lars"/>
      <w:r>
        <w:rPr/>
        <w:t>LARS</w:t>
      </w:r>
      <w:bookmarkEnd w:id="51"/>
    </w:p>
    <w:p>
      <w:pPr>
        <w:pStyle w:val="Heading5"/>
        <w:tabs>
          <w:tab w:val="clear" w:pos="709"/>
          <w:tab w:val="left" w:pos="0" w:leader="none"/>
        </w:tabs>
        <w:bidi w:val="0"/>
        <w:ind w:left="0" w:hanging="0"/>
        <w:jc w:val="left"/>
        <w:rPr/>
      </w:pPr>
      <w:bookmarkStart w:id="52" w:name="power"/>
      <w:r>
        <w:rPr/>
        <w:t>Power</w:t>
      </w:r>
      <w:bookmarkEnd w:id="52"/>
    </w:p>
    <w:p>
      <w:pPr>
        <w:pStyle w:val="Firstparagraph"/>
        <w:bidi w:val="0"/>
        <w:jc w:val="left"/>
        <w:rPr/>
      </w:pPr>
      <w:r>
        <w:rPr/>
        <w:t>The ability to operate autonomously without an umbilical cord implies that the UUV must have an onboard power supply.</w:t>
      </w:r>
    </w:p>
    <w:p>
      <w:pPr>
        <w:pStyle w:val="TextBody"/>
        <w:bidi w:val="0"/>
        <w:spacing w:before="86" w:after="86"/>
        <w:jc w:val="left"/>
        <w:rPr/>
      </w:pPr>
      <w:r>
        <w:rPr/>
        <w:t>As mentioned, much of the vehicle specification is being inherited from existing ROV technology and this would include expected operating power. The expansion of the UUV’s capabilities to include autonomous operation would primarily be completed through software and not significantly alter the required power.</w:t>
      </w:r>
    </w:p>
    <w:p>
      <w:pPr>
        <w:pStyle w:val="TextBody"/>
        <w:bidi w:val="0"/>
        <w:spacing w:before="86" w:after="86"/>
        <w:jc w:val="left"/>
        <w:rPr/>
      </w:pPr>
      <w:r>
        <w:rPr/>
        <w:t>300 kW was used as the required max power to calculate the energy storage capabilities, an operating time of 10 hours was also defined. An average draw of 50% max power was used to calculate 1.5 MWh of required storage.</w:t>
      </w:r>
    </w:p>
    <w:p>
      <w:pPr>
        <w:pStyle w:val="TextBody"/>
        <w:bidi w:val="0"/>
        <w:spacing w:before="86" w:after="86"/>
        <w:jc w:val="left"/>
        <w:rPr/>
      </w:pPr>
      <w:r>
        <w:rPr/>
        <w:t xml:space="preserve">The previously described 18650 cells (section </w:t>
      </w:r>
      <w:hyperlink w:anchor="subsec:Proposed-UUV-Battery-Solution">
        <w:r>
          <w:rPr>
            <w:rStyle w:val="InternetLink"/>
          </w:rPr>
          <w:t>[subsec:Proposed-UUV-Battery-Solution]</w:t>
        </w:r>
      </w:hyperlink>
      <w:r>
        <w:rPr/>
        <w:t>) will be used for the UUV’s battery pack, this will allow a single process for sourcing and end-of-life processing and increase efficiency by utilising the economy of scale. As such, the previously mentioned notes on sustainability including processes for second-use and recycling would apply to the UUVs battery pack. Lithium-polymer batteries have found usage in AUVs as a result of their lighter weight than Lithium-ion batteries. While this will increase efficiency, it is proposed that the use of a single supply chain will improve sustainability, a key parameter for this project.</w:t>
      </w:r>
    </w:p>
    <w:p>
      <w:pPr>
        <w:pStyle w:val="TextBody"/>
        <w:bidi w:val="0"/>
        <w:spacing w:before="86" w:after="86"/>
        <w:jc w:val="left"/>
        <w:rPr/>
      </w:pPr>
      <w:r>
        <w:rPr/>
        <w:t>The cell voltage (3.6 V) and capacity (3.5 Ah) were multiplied for 12.6 Wh of power capacity per cell. This would require 119,048 cells to meet the capacity requirements.</w:t>
      </w:r>
    </w:p>
    <w:p>
      <w:pPr>
        <w:pStyle w:val="TextBody"/>
        <w:bidi w:val="0"/>
        <w:spacing w:before="86" w:after="86"/>
        <w:jc w:val="left"/>
        <w:rPr/>
      </w:pPr>
      <w:r>
        <w:rPr/>
        <w:t>The battery system constitutes an extra 5,700 kg of extra weight for the UUV, it is important that the battery be removable for tethered operation in order to increase efficiency when independent operation is not required.</w:t>
      </w:r>
    </w:p>
    <w:p>
      <w:pPr>
        <w:pStyle w:val="TextBody"/>
        <w:bidi w:val="0"/>
        <w:spacing w:before="86" w:after="86"/>
        <w:jc w:val="left"/>
        <w:rPr/>
      </w:pPr>
      <w:r>
        <w:rPr/>
        <w:t>As this battery array will experience less usage than the surface vessel’s set, it is expected that it will last longer. Despite undergoing less charge cycles, Lithium-ion cells still have a finite lifespan and would not be expected to last beyond 4 years. As such this is defined as the battery replacement time period.</w:t>
      </w:r>
    </w:p>
    <w:p>
      <w:pPr>
        <w:pStyle w:val="Heading5"/>
        <w:tabs>
          <w:tab w:val="clear" w:pos="709"/>
          <w:tab w:val="left" w:pos="0" w:leader="none"/>
        </w:tabs>
        <w:bidi w:val="0"/>
        <w:ind w:left="0" w:hanging="0"/>
        <w:jc w:val="left"/>
        <w:rPr/>
      </w:pPr>
      <w:bookmarkStart w:id="53" w:name="sustainability-2"/>
      <w:r>
        <w:rPr/>
        <w:t>Sustainability</w:t>
      </w:r>
      <w:bookmarkEnd w:id="53"/>
    </w:p>
    <w:p>
      <w:pPr>
        <w:pStyle w:val="Heading5"/>
        <w:tabs>
          <w:tab w:val="clear" w:pos="709"/>
          <w:tab w:val="left" w:pos="0" w:leader="none"/>
        </w:tabs>
        <w:bidi w:val="0"/>
        <w:ind w:left="0" w:hanging="0"/>
        <w:jc w:val="left"/>
        <w:rPr/>
      </w:pPr>
      <w:bookmarkStart w:id="54" w:name="financials"/>
      <w:r>
        <w:rPr/>
        <w:t>Financials</w:t>
      </w:r>
      <w:bookmarkEnd w:id="54"/>
    </w:p>
    <w:p>
      <w:pPr>
        <w:pStyle w:val="Firstparagraph"/>
        <w:bidi w:val="0"/>
        <w:jc w:val="left"/>
        <w:rPr/>
      </w:pPr>
      <w:r>
        <w:rPr/>
        <w:t>As described, a single type of Lithium cell are being used in order to benefit from the economy of scale. Using the previously specified £5 unit price, a set of UUV battery cells will cost £595,240. Modelling this across it’s lifespan averages to £148,810 per year.</w:t>
      </w:r>
    </w:p>
    <w:p>
      <w:pPr>
        <w:pStyle w:val="Heading5"/>
        <w:tabs>
          <w:tab w:val="clear" w:pos="709"/>
          <w:tab w:val="left" w:pos="0" w:leader="none"/>
        </w:tabs>
        <w:bidi w:val="0"/>
        <w:ind w:left="0" w:hanging="0"/>
        <w:jc w:val="left"/>
        <w:rPr/>
      </w:pPr>
      <w:bookmarkStart w:id="55" w:name="summary-1"/>
      <w:r>
        <w:rPr/>
        <w:t>Summary</w:t>
      </w:r>
      <w:bookmarkEnd w:id="55"/>
    </w:p>
    <w:p>
      <w:pPr>
        <w:pStyle w:val="Heading1"/>
        <w:tabs>
          <w:tab w:val="clear" w:pos="709"/>
          <w:tab w:val="left" w:pos="0" w:leader="none"/>
        </w:tabs>
        <w:bidi w:val="0"/>
        <w:ind w:left="0" w:hanging="0"/>
        <w:jc w:val="left"/>
        <w:rPr/>
      </w:pPr>
      <w:bookmarkStart w:id="56" w:name="digitalisation"/>
      <w:r>
        <w:rPr/>
        <w:t>Digitalisation</w:t>
      </w:r>
      <w:bookmarkEnd w:id="56"/>
    </w:p>
    <w:p>
      <w:pPr>
        <w:pStyle w:val="Firstparagraph"/>
        <w:bidi w:val="0"/>
        <w:jc w:val="left"/>
        <w:rPr/>
      </w:pPr>
      <w:r>
        <w:rPr/>
        <w:t xml:space="preserve">Before discussing how this project aims to leverage </w:t>
      </w:r>
      <w:r>
        <w:rPr>
          <w:i/>
          <w:iCs/>
        </w:rPr>
        <w:t>digitalisation</w:t>
      </w:r>
      <w:r>
        <w:rPr/>
        <w:t xml:space="preserve"> it is worth defining the term and the adjacent term </w:t>
      </w:r>
      <w:r>
        <w:rPr>
          <w:i/>
          <w:iCs/>
        </w:rPr>
        <w:t>digitisation</w:t>
      </w:r>
      <w:r>
        <w:rPr/>
        <w:t>. Digitisation describes the transforming of data or a process from an analogue system to a digital one, . It is a value-neutral term in of itself and could have positive or negative effects. A simple example would be transitioning from working with pen-and-paper forms to digital documents and PDFs.</w:t>
      </w:r>
    </w:p>
    <w:p>
      <w:pPr>
        <w:pStyle w:val="TextBody"/>
        <w:bidi w:val="0"/>
        <w:spacing w:before="86" w:after="86"/>
        <w:jc w:val="left"/>
        <w:rPr/>
      </w:pPr>
      <w:r>
        <w:rPr/>
        <w:t>Digitalisation describes the use of digitisation to increase efficiency and access new value-producing business opportunities, . To follow the above example, digitalisation could include using groupware in order to collaboratively work on a cloud document as opposed to delivering hard copy revisions of a document between locations.</w:t>
      </w:r>
    </w:p>
    <w:p>
      <w:pPr>
        <w:pStyle w:val="TextBody"/>
        <w:bidi w:val="0"/>
        <w:spacing w:before="86" w:after="86"/>
        <w:jc w:val="left"/>
        <w:rPr/>
      </w:pPr>
      <w:r>
        <w:rPr/>
        <w:t xml:space="preserve">As a broad concept, there are many ways that the concept of digitalisation could be applied to this project, as a whole, though, the initiative could be described as a </w:t>
      </w:r>
      <w:r>
        <w:rPr>
          <w:i/>
          <w:iCs/>
        </w:rPr>
        <w:t>smart ship</w:t>
      </w:r>
      <w:r>
        <w:rPr/>
        <w:t xml:space="preserve">. Many of the features rely on interconnected sites, the internet network topology can be seen in figure </w:t>
      </w:r>
      <w:hyperlink w:anchor="fig:Network-topology">
        <w:r>
          <w:rPr>
            <w:rStyle w:val="InternetLink"/>
          </w:rPr>
          <w:t>14</w:t>
        </w:r>
      </w:hyperlink>
      <w:r>
        <w:rPr/>
        <w:t>.</w:t>
      </w:r>
    </w:p>
    <w:p>
      <w:pPr>
        <w:pStyle w:val="TextBody"/>
        <w:bidi w:val="0"/>
        <w:spacing w:before="86" w:after="86"/>
        <w:jc w:val="left"/>
        <w:rPr/>
      </w:pPr>
      <w:r>
        <w:rPr/>
        <w:t>The surface vessel will be connected to the internet via two gateways. While berthed, the vessel should be able to connect to the depot via Ethernet which can be run alongside the shore power line. For internet connectivity while at sea, the vessel will be equipped with satellite internet apparatus.</w:t>
      </w:r>
    </w:p>
    <w:p>
      <w:pPr>
        <w:pStyle w:val="FigureWithCaption"/>
        <w:keepNext w:val="true"/>
        <w:suppressLineNumbers/>
        <w:bidi w:val="0"/>
        <w:jc w:val="left"/>
        <w:rPr/>
      </w:pPr>
      <w:r>
        <w:rPr/>
        <w:drawing>
          <wp:inline distT="0" distB="0" distL="0" distR="0">
            <wp:extent cx="5610225" cy="5527040"/>
            <wp:effectExtent l="0" t="0" r="0" b="0"/>
            <wp:docPr id="15" name="img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15" descr=""/>
                    <pic:cNvPicPr>
                      <a:picLocks noChangeAspect="1" noChangeArrowheads="1"/>
                    </pic:cNvPicPr>
                  </pic:nvPicPr>
                  <pic:blipFill>
                    <a:blip r:embed="rId16"/>
                    <a:stretch>
                      <a:fillRect/>
                    </a:stretch>
                  </pic:blipFill>
                  <pic:spPr bwMode="auto">
                    <a:xfrm>
                      <a:off x="0" y="0"/>
                      <a:ext cx="5610225" cy="5527040"/>
                    </a:xfrm>
                    <a:prstGeom prst="rect">
                      <a:avLst/>
                    </a:prstGeom>
                  </pic:spPr>
                </pic:pic>
              </a:graphicData>
            </a:graphic>
          </wp:inline>
        </w:drawing>
      </w:r>
    </w:p>
    <w:p>
      <w:pPr>
        <w:pStyle w:val="FigureCaption"/>
        <w:bidi w:val="0"/>
        <w:jc w:val="left"/>
        <w:rPr/>
      </w:pPr>
      <w:r>
        <w:rPr/>
        <w:t>Network topology across the depot, vessel and cloud environment; main services highlighted[fig:Network-topology]</w:t>
      </w:r>
    </w:p>
    <w:p>
      <w:pPr>
        <w:pStyle w:val="Heading3"/>
        <w:tabs>
          <w:tab w:val="clear" w:pos="709"/>
          <w:tab w:val="left" w:pos="0" w:leader="none"/>
        </w:tabs>
        <w:bidi w:val="0"/>
        <w:ind w:left="0" w:hanging="0"/>
        <w:jc w:val="left"/>
        <w:rPr/>
      </w:pPr>
      <w:bookmarkStart w:id="57" w:name="battery-cell-calculationssecbattery-cell"/>
      <w:r>
        <w:rPr/>
        <w:t>Battery Cell Calculations[sec:Battery-Cell-Calculations]</w:t>
      </w:r>
      <w:bookmarkEnd w:id="57"/>
    </w:p>
    <w:p>
      <w:pPr>
        <w:pStyle w:val="Heading3"/>
        <w:tabs>
          <w:tab w:val="clear" w:pos="709"/>
          <w:tab w:val="left" w:pos="0" w:leader="none"/>
        </w:tabs>
        <w:bidi w:val="0"/>
        <w:ind w:left="0" w:hanging="0"/>
        <w:jc w:val="left"/>
        <w:rPr/>
      </w:pPr>
      <w:bookmarkStart w:id="58" w:name="time-dependent-power-modellingsectime-de"/>
      <w:r>
        <w:rPr/>
        <w:t>Time-dependent Power Modelling[sec:Time-dependent-Power-Modelling]</w:t>
      </w:r>
      <w:bookmarkEnd w:id="58"/>
    </w:p>
    <w:p>
      <w:pPr>
        <w:pStyle w:val="Heading4"/>
        <w:tabs>
          <w:tab w:val="clear" w:pos="709"/>
          <w:tab w:val="left" w:pos="0" w:leader="none"/>
        </w:tabs>
        <w:bidi w:val="0"/>
        <w:ind w:left="0" w:hanging="0"/>
        <w:jc w:val="left"/>
        <w:rPr/>
      </w:pPr>
      <w:bookmarkStart w:id="59" w:name="power-in"/>
      <w:r>
        <w:rPr/>
        <w:t>Power In</w:t>
      </w:r>
      <w:bookmarkEnd w:id="59"/>
    </w:p>
    <w:p>
      <w:pPr>
        <w:pStyle w:val="Firstparagraph"/>
        <w:bidi w:val="0"/>
        <w:jc w:val="left"/>
        <w:rPr/>
      </w:pPr>
      <w:r>
        <w:rPr/>
        <w:t xml:space="preserve">As described in the premise for why a buffer is needed (section </w:t>
      </w:r>
      <w:hyperlink w:anchor="sec:Energy-Storage">
        <w:r>
          <w:rPr>
            <w:rStyle w:val="InternetLink"/>
          </w:rPr>
          <w:t>[sec:Energy-Storage]</w:t>
        </w:r>
      </w:hyperlink>
      <w:r>
        <w:rPr/>
        <w:t>), the power from the ammonia fuel cells will primarily be varied by changing the population of active cells as opposed to drawing varied power from each individually. This allows the cells to operate as much as possible in their most efficient state. However cells require time to turn on and reach this efficient state, about 20 minutes. This was modelled by having the input power move in discrete steps as cells are turned on and off. This step value was defined as 200kW, the most efficient state for a single fuel cell.</w:t>
      </w:r>
    </w:p>
    <w:p>
      <w:pPr>
        <w:pStyle w:val="TextBody"/>
        <w:bidi w:val="0"/>
        <w:spacing w:before="86" w:after="86"/>
        <w:jc w:val="left"/>
        <w:rPr/>
      </w:pPr>
      <w:r>
        <w:rPr/>
        <w:t>As time increases, every twenty minutes the amount of active cells can be incremented or decremented. This over-simplifies the actual behaviour as this would, in reality, be a gradual process as opposed to one of discrete steps however it was deemed acceptable in order to enforce the time penalty in changing the number of powering cells.</w:t>
      </w:r>
    </w:p>
    <w:p>
      <w:pPr>
        <w:pStyle w:val="Heading4"/>
        <w:tabs>
          <w:tab w:val="clear" w:pos="709"/>
          <w:tab w:val="left" w:pos="0" w:leader="none"/>
        </w:tabs>
        <w:bidi w:val="0"/>
        <w:ind w:left="0" w:hanging="0"/>
        <w:jc w:val="left"/>
        <w:rPr/>
      </w:pPr>
      <w:bookmarkStart w:id="60" w:name="power-out"/>
      <w:r>
        <w:rPr/>
        <w:t>Power Out</w:t>
      </w:r>
      <w:bookmarkEnd w:id="60"/>
    </w:p>
    <w:p>
      <w:pPr>
        <w:pStyle w:val="Firstparagraph"/>
        <w:bidi w:val="0"/>
        <w:jc w:val="left"/>
        <w:rPr/>
      </w:pPr>
      <w:r>
        <w:rPr/>
        <w:t>In order to model the load draw from the propulsion and hotel load, a random differential was applied each second. This was done in order to provide a dynamic environment, were the load power to stay the same the battery would either charge or discharge entirely and then stay in this state. A random change each second more closely matches the expected power requirements as the wind and currents are also dynamic.</w:t>
      </w:r>
    </w:p>
    <w:p>
      <w:pPr>
        <w:pStyle w:val="TextBody"/>
        <w:bidi w:val="0"/>
        <w:spacing w:before="86" w:after="86"/>
        <w:jc w:val="left"/>
        <w:rPr/>
      </w:pPr>
      <w:r>
        <w:rPr/>
        <w:t xml:space="preserve">The max load differential was defined as 10 kW. This means that each second the load could change by a maximum of </w:t>
      </w:r>
      <w:r>
        <w:rPr/>
      </w:r>
      <m:oMath xmlns:m="http://schemas.openxmlformats.org/officeDocument/2006/math">
        <m:r>
          <w:rPr>
            <w:rFonts w:ascii="Cambria Math" w:hAnsi="Cambria Math"/>
          </w:rPr>
          <m:t xml:space="preserve">±</m:t>
        </m:r>
      </m:oMath>
      <w:r>
        <w:rPr/>
        <w:t>10kW as a random number between -1 and 1 was generated and used as a coefficient.</w:t>
      </w:r>
    </w:p>
    <w:p>
      <w:pPr>
        <w:pStyle w:val="TextBody"/>
        <w:bidi w:val="0"/>
        <w:spacing w:before="86" w:after="86"/>
        <w:jc w:val="left"/>
        <w:rPr/>
      </w:pPr>
      <w:r>
        <w:rPr/>
        <w:t>The different stages of a mission were defined as having a maximum and minimum load power which the random function was able to fluctuate between. When dynamic positioning it could be expected that more power would be used than when completing either the out or home-bound journey.</w:t>
      </w:r>
    </w:p>
    <w:p>
      <w:pPr>
        <w:pStyle w:val="Heading4"/>
        <w:tabs>
          <w:tab w:val="clear" w:pos="709"/>
          <w:tab w:val="left" w:pos="0" w:leader="none"/>
        </w:tabs>
        <w:bidi w:val="0"/>
        <w:ind w:left="0" w:hanging="0"/>
        <w:jc w:val="left"/>
        <w:rPr/>
      </w:pPr>
      <w:bookmarkStart w:id="61" w:name="efficiencies"/>
      <w:r>
        <w:rPr/>
        <w:t>Efficiencies</w:t>
      </w:r>
      <w:bookmarkEnd w:id="61"/>
    </w:p>
    <w:p>
      <w:pPr>
        <w:pStyle w:val="Firstparagraph"/>
        <w:bidi w:val="0"/>
        <w:jc w:val="left"/>
        <w:rPr/>
      </w:pPr>
      <w:r>
        <w:rPr/>
        <w:t>The charging and discharging of the battery is not a completely efficient process. In order to take this into account, both processes were treated as 80% efficient.</w:t>
      </w:r>
    </w:p>
    <w:p>
      <w:pPr>
        <w:pStyle w:val="Heading4"/>
        <w:tabs>
          <w:tab w:val="clear" w:pos="709"/>
          <w:tab w:val="left" w:pos="0" w:leader="none"/>
        </w:tabs>
        <w:bidi w:val="0"/>
        <w:ind w:left="0" w:hanging="0"/>
        <w:jc w:val="left"/>
        <w:rPr/>
      </w:pPr>
      <w:bookmarkStart w:id="62" w:name="validity"/>
      <w:r>
        <w:rPr/>
        <w:t>Validity</w:t>
      </w:r>
      <w:bookmarkEnd w:id="62"/>
    </w:p>
    <w:p>
      <w:pPr>
        <w:pStyle w:val="Firstparagraph"/>
        <w:bidi w:val="0"/>
        <w:jc w:val="left"/>
        <w:rPr/>
      </w:pPr>
      <w:r>
        <w:rPr/>
        <w:t>In terms of applicability, the model provides a good high-level approximation of the relationship between the fuel cells and the battery usage. In reality, however, the system would be far more complex. For example, the model only increments or decrements the active fuel cells by one at each twenty minute interval when in reality many could be activated or deactivated simultaneously.</w:t>
      </w:r>
    </w:p>
    <w:sectPr>
      <w:footerReference w:type="default" r:id="rId17"/>
      <w:footnotePr>
        <w:numFmt w:val="decimal"/>
      </w:footnotePr>
      <w:type w:val="nextPage"/>
      <w:pgSz w:w="12240" w:h="15840"/>
      <w:pgMar w:left="1440" w:right="1440" w:header="0" w:top="1440" w:footer="1440" w:bottom="2016"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StarSymbol">
    <w:altName w:val="Arial Unicode MS"/>
    <w:charset w:val="01"/>
    <w:family w:val="auto"/>
    <w:pitch w:val="default"/>
  </w:font>
  <w:font w:name="Arial">
    <w:charset w:val="01"/>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fldChar w:fldCharType="begin"/>
    </w:r>
    <w:r>
      <w:rPr/>
      <w:instrText> PAGE </w:instrText>
    </w:r>
    <w:r>
      <w:rPr/>
      <w:fldChar w:fldCharType="separate"/>
    </w:r>
    <w:r>
      <w:rPr/>
      <w:t>27</w:t>
    </w:r>
    <w:r>
      <w:rPr/>
      <w:fldChar w:fldCharType="end"/>
    </w:r>
    <w:r>
      <w:rPr/>
      <w:t xml:space="preserve"> </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uppressLineNumbers/>
        <w:bidi w:val="0"/>
        <w:ind w:left="283" w:right="0" w:hanging="283"/>
        <w:jc w:val="left"/>
        <w:rPr/>
      </w:pPr>
      <w:r>
        <w:rPr>
          <w:rStyle w:val="FootnoteCharacters"/>
        </w:rPr>
        <w:footnoteRef/>
      </w:r>
      <w:r>
        <w:rPr/>
        <w:tab/>
        <w:t>Worth noting that the capacity is initially higher for higher voltages, it is the lifespan that can be extended by picking a more reserved value.</w:t>
      </w:r>
    </w:p>
  </w:footnote>
  <w:footnote w:id="3">
    <w:p>
      <w:pPr>
        <w:pStyle w:val="Footnote"/>
        <w:suppressLineNumbers/>
        <w:bidi w:val="0"/>
        <w:ind w:left="283" w:right="0" w:hanging="283"/>
        <w:jc w:val="left"/>
        <w:rPr/>
      </w:pPr>
      <w:r>
        <w:rPr>
          <w:rStyle w:val="FootnoteCharacters"/>
        </w:rPr>
        <w:footnoteRef/>
      </w:r>
      <w:r>
        <w:rPr/>
        <w:tab/>
        <w:t>Measurement of the depth of a body of water</w:t>
      </w:r>
    </w:p>
  </w:footnote>
  <w:footnote w:id="4">
    <w:p>
      <w:pPr>
        <w:pStyle w:val="Footnote"/>
        <w:suppressLineNumbers/>
        <w:bidi w:val="0"/>
        <w:ind w:left="283" w:right="0" w:hanging="283"/>
        <w:jc w:val="left"/>
        <w:rPr/>
      </w:pPr>
      <w:r>
        <w:rPr>
          <w:rStyle w:val="FootnoteCharacters"/>
        </w:rPr>
        <w:footnoteRef/>
      </w:r>
      <w:r>
        <w:rPr/>
        <w:tab/>
        <w:t>Global Navigation Satellite System, the generic term for satellite aided global navigation of which the American GPS, Russian GLONASS and European Galileo systems are examples</w:t>
      </w:r>
    </w:p>
  </w:footnote>
  <w:footnote w:id="5">
    <w:p>
      <w:pPr>
        <w:pStyle w:val="Footnote"/>
        <w:suppressLineNumbers/>
        <w:bidi w:val="0"/>
        <w:ind w:left="283" w:right="0" w:hanging="283"/>
        <w:jc w:val="left"/>
        <w:rPr/>
      </w:pPr>
      <w:r>
        <w:rPr>
          <w:rStyle w:val="FootnoteCharacters"/>
        </w:rPr>
        <w:footnoteRef/>
      </w:r>
      <w:r>
        <w:rPr/>
        <w:tab/>
        <w:t>In practice the two could be used in conjunction for efficiency. As the UUV is deployed it initially uses the onboard SBL array while the surface vessel makes a pass around the working area deploying GIBs for use as the UUV gets deeper</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lvlText w:val=""/>
      <w:lvlJc w:val="left"/>
      <w:pPr>
        <w:tabs>
          <w:tab w:val="num" w:pos="0"/>
        </w:tabs>
        <w:ind w:left="0" w:hanging="0"/>
      </w:pPr>
    </w:lvl>
    <w:lvl w:ilvl="1">
      <w:start w:val="1"/>
      <w:pStyle w:val="Heading2"/>
      <w:numFmt w:val="none"/>
      <w:lvlText w:val=""/>
      <w:lvlJc w:val="left"/>
      <w:pPr>
        <w:tabs>
          <w:tab w:val="num" w:pos="0"/>
        </w:tabs>
        <w:ind w:left="0" w:hanging="0"/>
      </w:pPr>
    </w:lvl>
    <w:lvl w:ilvl="2">
      <w:start w:val="1"/>
      <w:pStyle w:val="Heading3"/>
      <w:numFmt w:val="none"/>
      <w:lvlText w:val=""/>
      <w:lvlJc w:val="left"/>
      <w:pPr>
        <w:tabs>
          <w:tab w:val="num" w:pos="0"/>
        </w:tabs>
        <w:ind w:left="0" w:hanging="0"/>
      </w:pPr>
    </w:lvl>
    <w:lvl w:ilvl="3">
      <w:start w:val="1"/>
      <w:pStyle w:val="Heading4"/>
      <w:numFmt w:val="none"/>
      <w:lvlText w:val=""/>
      <w:lvlJc w:val="left"/>
      <w:pPr>
        <w:tabs>
          <w:tab w:val="num" w:pos="0"/>
        </w:tabs>
        <w:ind w:left="0" w:hanging="0"/>
      </w:pPr>
    </w:lvl>
    <w:lvl w:ilvl="4">
      <w:start w:val="1"/>
      <w:pStyle w:val="Heading5"/>
      <w:numFmt w:val="none"/>
      <w:lvlText w:val=""/>
      <w:lvlJc w:val="left"/>
      <w:pPr>
        <w:tabs>
          <w:tab w:val="num" w:pos="0"/>
        </w:tabs>
        <w:ind w:left="0" w:hanging="0"/>
      </w:pPr>
    </w:lvl>
    <w:lvl w:ilvl="5">
      <w:start w:val="1"/>
      <w:pStyle w:val="Heading6"/>
      <w:numFmt w:val="none"/>
      <w:lvlText w:val=""/>
      <w:lvlJc w:val="left"/>
      <w:pPr>
        <w:tabs>
          <w:tab w:val="num" w:pos="0"/>
        </w:tabs>
        <w:ind w:left="0" w:hanging="0"/>
      </w:pPr>
    </w:lvl>
    <w:lvl w:ilvl="6">
      <w:start w:val="1"/>
      <w:numFmt w:val="none"/>
      <w:lvlText w:val=""/>
      <w:lvlJc w:val="left"/>
      <w:pPr>
        <w:tabs>
          <w:tab w:val="num" w:pos="0"/>
        </w:tabs>
        <w:ind w:left="0" w:hanging="0"/>
      </w:pPr>
    </w:lvl>
    <w:lvl w:ilvl="7">
      <w:start w:val="1"/>
      <w:numFmt w:val="none"/>
      <w:lvlText w:val=""/>
      <w:lvlJc w:val="left"/>
      <w:pPr>
        <w:tabs>
          <w:tab w:val="num" w:pos="0"/>
        </w:tabs>
        <w:ind w:left="0" w:hanging="0"/>
      </w:pPr>
    </w:lvl>
    <w:lvl w:ilvl="8">
      <w:start w:val="1"/>
      <w:numFmt w:val="none"/>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3"/>
  </w:num>
  <w:num w:numId="9">
    <w:abstractNumId w:val="3"/>
  </w:num>
</w:numbering>
</file>

<file path=word/settings.xml><?xml version="1.0" encoding="utf-8"?>
<w:settings xmlns:w="http://schemas.openxmlformats.org/wordprocessingml/2006/main">
  <w:zoom w:percent="80"/>
  <w:defaultTabStop w:val="709"/>
  <w:autoHyphenation w:val="true"/>
  <w:footnotePr>
    <w:numFmt w:val="decimal"/>
    <w:footnote w:id="0"/>
    <w:footnote w:id="1"/>
  </w:footnotePr>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Lucida Sans Unicode" w:cs="Tahoma"/>
        <w:kern w:val="2"/>
        <w:sz w:val="24"/>
        <w:szCs w:val="24"/>
        <w:lang w:val="en-US" w:eastAsia="zxx" w:bidi="zxx"/>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Times New Roman" w:hAnsi="Times New Roman" w:eastAsia="Lucida Sans Unicode" w:cs="Tahoma"/>
      <w:color w:val="auto"/>
      <w:kern w:val="2"/>
      <w:sz w:val="24"/>
      <w:szCs w:val="24"/>
      <w:lang w:val="en-US" w:eastAsia="zxx" w:bidi="zxx"/>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outlineLvl w:val="2"/>
    </w:pPr>
    <w:rPr>
      <w:b/>
      <w:bCs/>
      <w:sz w:val="28"/>
      <w:szCs w:val="28"/>
    </w:rPr>
  </w:style>
  <w:style w:type="paragraph" w:styleId="Heading4">
    <w:name w:val="Heading 4"/>
    <w:basedOn w:val="Heading"/>
    <w:next w:val="TextBody"/>
    <w:qFormat/>
    <w:pPr>
      <w:numPr>
        <w:ilvl w:val="3"/>
        <w:numId w:val="1"/>
      </w:numPr>
      <w:outlineLvl w:val="3"/>
    </w:pPr>
    <w:rPr>
      <w:b/>
      <w:bCs/>
      <w:i/>
      <w:iCs/>
      <w:sz w:val="24"/>
      <w:szCs w:val="24"/>
    </w:rPr>
  </w:style>
  <w:style w:type="paragraph" w:styleId="Heading5">
    <w:name w:val="Heading 5"/>
    <w:basedOn w:val="Heading"/>
    <w:next w:val="TextBody"/>
    <w:qFormat/>
    <w:pPr>
      <w:numPr>
        <w:ilvl w:val="4"/>
        <w:numId w:val="1"/>
      </w:numPr>
      <w:outlineLvl w:val="4"/>
    </w:pPr>
    <w:rPr>
      <w:b/>
      <w:bCs/>
      <w:sz w:val="24"/>
      <w:szCs w:val="24"/>
    </w:rPr>
  </w:style>
  <w:style w:type="paragraph" w:styleId="Heading6">
    <w:name w:val="Heading 6"/>
    <w:basedOn w:val="Heading"/>
    <w:next w:val="TextBody"/>
    <w:qFormat/>
    <w:pPr>
      <w:numPr>
        <w:ilvl w:val="5"/>
        <w:numId w:val="1"/>
      </w:numPr>
      <w:outlineLvl w:val="5"/>
    </w:pPr>
    <w:rPr>
      <w:b/>
      <w:bCs/>
      <w:sz w:val="21"/>
      <w:szCs w:val="21"/>
    </w:rPr>
  </w:style>
  <w:style w:type="character" w:styleId="SourceText">
    <w:name w:val="Source_Text"/>
    <w:qFormat/>
    <w:rPr>
      <w:rFonts w:ascii="Courier New" w:hAnsi="Courier New" w:eastAsia="Courier New" w:cs="Courier New"/>
      <w:sz w:val="20"/>
      <w:szCs w:val="20"/>
    </w:rPr>
  </w:style>
  <w:style w:type="character" w:styleId="NumberingSymbols">
    <w:name w:val="Numbering Symbols"/>
    <w:qFormat/>
    <w:rPr/>
  </w:style>
  <w:style w:type="character" w:styleId="Bullets">
    <w:name w:val="Bullets"/>
    <w:qFormat/>
    <w:rPr>
      <w:rFonts w:ascii="StarSymbol" w:hAnsi="StarSymbol" w:eastAsia="StarSymbol" w:cs="StarSymbol"/>
      <w:sz w:val="18"/>
      <w:szCs w:val="18"/>
    </w:rPr>
  </w:style>
  <w:style w:type="character" w:styleId="Emphasis">
    <w:name w:val="Emphasis"/>
    <w:qFormat/>
    <w:rPr>
      <w:i/>
      <w:iCs/>
    </w:rPr>
  </w:style>
  <w:style w:type="character" w:styleId="StrongEmphasis">
    <w:name w:val="Strong Emphasis"/>
    <w:qFormat/>
    <w:rPr>
      <w:b/>
      <w:bCs/>
    </w:rPr>
  </w:style>
  <w:style w:type="character" w:styleId="Strikeout">
    <w:name w:val="Strikeout"/>
    <w:qFormat/>
    <w:rPr>
      <w:strike/>
    </w:rPr>
  </w:style>
  <w:style w:type="character" w:styleId="Superscript">
    <w:name w:val="Superscript"/>
    <w:qFormat/>
    <w:rPr>
      <w:vertAlign w:val="superscript"/>
    </w:rPr>
  </w:style>
  <w:style w:type="character" w:styleId="Subscript">
    <w:name w:val="Subscript"/>
    <w:qFormat/>
    <w:rPr>
      <w:vertAlign w:val="subscript"/>
    </w:rPr>
  </w:style>
  <w:style w:type="character" w:styleId="Quotation">
    <w:name w:val="Quotation"/>
    <w:qFormat/>
    <w:rPr>
      <w:i/>
      <w:iCs/>
    </w:rPr>
  </w:style>
  <w:style w:type="character" w:styleId="Teletype">
    <w:name w:val="Teletype"/>
    <w:qFormat/>
    <w:rPr>
      <w:rFonts w:ascii="Courier New" w:hAnsi="Courier New" w:eastAsia="Courier New" w:cs="Courier New"/>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Definition">
    <w:name w:val="Definition"/>
    <w:qFormat/>
    <w:rPr/>
  </w:style>
  <w:style w:type="character" w:styleId="EndnoteAnchor">
    <w:name w:val="Endnote Anchor"/>
    <w:rPr>
      <w:vertAlign w:val="superscript"/>
    </w:rPr>
  </w:style>
  <w:style w:type="character" w:styleId="EndnoteCharacters">
    <w:name w:val="Endnote Characters"/>
    <w:qFormat/>
    <w:rPr/>
  </w:style>
  <w:style w:type="paragraph" w:styleId="Author">
    <w:name w:val="Author"/>
    <w:basedOn w:val="Normal"/>
    <w:qFormat/>
    <w:pPr>
      <w:jc w:val="center"/>
    </w:pPr>
    <w:rPr/>
  </w:style>
  <w:style w:type="paragraph" w:styleId="Date">
    <w:name w:val="Date"/>
    <w:basedOn w:val="Normal"/>
    <w:qFormat/>
    <w:pPr>
      <w:jc w:val="center"/>
    </w:pPr>
    <w:rPr/>
  </w:style>
  <w:style w:type="paragraph" w:styleId="Abstract">
    <w:name w:val="Abstract"/>
    <w:basedOn w:val="Normal"/>
    <w:qFormat/>
    <w:pPr>
      <w:spacing w:before="144" w:after="144"/>
      <w:ind w:left="567" w:right="567" w:hanging="0"/>
    </w:pPr>
    <w:rPr/>
  </w:style>
  <w:style w:type="paragraph" w:styleId="Heading">
    <w:name w:val="Heading"/>
    <w:basedOn w:val="Normal"/>
    <w:next w:val="TextBody"/>
    <w:qFormat/>
    <w:pPr>
      <w:keepNext w:val="true"/>
      <w:spacing w:before="240" w:after="120"/>
    </w:pPr>
    <w:rPr>
      <w:rFonts w:ascii="Arial" w:hAnsi="Arial" w:eastAsia="Lucida Sans Unicode" w:cs="Tahoma"/>
      <w:sz w:val="28"/>
      <w:szCs w:val="28"/>
    </w:rPr>
  </w:style>
  <w:style w:type="paragraph" w:styleId="TextBody">
    <w:name w:val="Body Text"/>
    <w:basedOn w:val="Normal"/>
    <w:pPr>
      <w:spacing w:before="86" w:after="86"/>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Table">
    <w:name w:val="Table"/>
    <w:basedOn w:val="Caption"/>
    <w:qFormat/>
    <w:pPr/>
    <w:rPr/>
  </w:style>
  <w:style w:type="paragraph" w:styleId="FigureCaption">
    <w:name w:val="FigureCaption"/>
    <w:basedOn w:val="Caption"/>
    <w:qFormat/>
    <w:pPr/>
    <w:rPr/>
  </w:style>
  <w:style w:type="paragraph" w:styleId="Figure">
    <w:name w:val="Figure"/>
    <w:basedOn w:val="Normal"/>
    <w:qFormat/>
    <w:pPr>
      <w:suppressLineNumbers/>
    </w:pPr>
    <w:rPr/>
  </w:style>
  <w:style w:type="paragraph" w:styleId="FigureWithCaption">
    <w:name w:val="FigureWithCaption"/>
    <w:basedOn w:val="Figure"/>
    <w:qFormat/>
    <w:pPr>
      <w:keepNext w:val="true"/>
      <w:suppressLineNumbers/>
    </w:pPr>
    <w:rPr/>
  </w:style>
  <w:style w:type="paragraph" w:styleId="Index">
    <w:name w:val="Index"/>
    <w:basedOn w:val="Normal"/>
    <w:qFormat/>
    <w:pPr>
      <w:suppressLineNumbers/>
    </w:pPr>
    <w:rPr>
      <w:rFonts w:cs="Tahoma"/>
    </w:rPr>
  </w:style>
  <w:style w:type="paragraph" w:styleId="Quotations">
    <w:name w:val="Quotations"/>
    <w:basedOn w:val="Normal"/>
    <w:qFormat/>
    <w:pPr>
      <w:spacing w:before="144" w:after="144"/>
      <w:ind w:left="567" w:right="567" w:hanging="0"/>
    </w:pPr>
    <w:rPr/>
  </w:style>
  <w:style w:type="paragraph" w:styleId="PreformattedText">
    <w:name w:val="Preformatted Text"/>
    <w:basedOn w:val="Normal"/>
    <w:qFormat/>
    <w:pPr>
      <w:spacing w:before="0" w:after="0"/>
    </w:pPr>
    <w:rPr>
      <w:rFonts w:ascii="Courier New" w:hAnsi="Courier New" w:eastAsia="Courier New" w:cs="Courier New"/>
      <w:sz w:val="20"/>
      <w:szCs w:val="20"/>
    </w:rPr>
  </w:style>
  <w:style w:type="paragraph" w:styleId="DefinitionTerm">
    <w:name w:val="Definition Term"/>
    <w:basedOn w:val="Normal"/>
    <w:next w:val="DefinitionDefinition"/>
    <w:qFormat/>
    <w:pPr>
      <w:spacing w:before="86" w:after="86"/>
    </w:pPr>
    <w:rPr/>
  </w:style>
  <w:style w:type="paragraph" w:styleId="DefinitionDefinition">
    <w:name w:val="Definition Definition"/>
    <w:basedOn w:val="Normal"/>
    <w:next w:val="TextBody"/>
    <w:qFormat/>
    <w:pPr>
      <w:ind w:left="720" w:right="0" w:hanging="0"/>
    </w:pPr>
    <w:rPr/>
  </w:style>
  <w:style w:type="paragraph" w:styleId="TableContents">
    <w:name w:val="Table Contents"/>
    <w:basedOn w:val="Normal"/>
    <w:qFormat/>
    <w:pPr>
      <w:suppressLineNumbers/>
      <w:ind w:left="43" w:right="43" w:hanging="0"/>
    </w:pPr>
    <w:rPr/>
  </w:style>
  <w:style w:type="paragraph" w:styleId="TableHeading">
    <w:name w:val="Table Heading"/>
    <w:basedOn w:val="TableContents"/>
    <w:qFormat/>
    <w:pPr>
      <w:suppressLineNumbers/>
      <w:ind w:left="43" w:right="43" w:hanging="0"/>
      <w:jc w:val="left"/>
    </w:pPr>
    <w:rPr>
      <w:b/>
      <w:bCs/>
    </w:rPr>
  </w:style>
  <w:style w:type="paragraph" w:styleId="Footnote">
    <w:name w:val="Footnote Text"/>
    <w:basedOn w:val="Normal"/>
    <w:pPr>
      <w:suppressLineNumbers/>
      <w:ind w:left="283" w:right="0" w:hanging="283"/>
    </w:pPr>
    <w:rPr>
      <w:sz w:val="20"/>
      <w:szCs w:val="20"/>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Normal"/>
    <w:pPr>
      <w:suppressLineNumbers/>
      <w:tabs>
        <w:tab w:val="clear" w:pos="709"/>
        <w:tab w:val="center" w:pos="4680" w:leader="none"/>
        <w:tab w:val="right" w:pos="9360" w:leader="none"/>
      </w:tabs>
    </w:pPr>
    <w:rPr/>
  </w:style>
  <w:style w:type="paragraph" w:styleId="DefinitionTermTight">
    <w:name w:val="Definition Term Tight"/>
    <w:basedOn w:val="Normal"/>
    <w:next w:val="DefinitionDefinitionTight"/>
    <w:qFormat/>
    <w:pPr>
      <w:spacing w:before="115" w:after="115"/>
    </w:pPr>
    <w:rPr/>
  </w:style>
  <w:style w:type="paragraph" w:styleId="DefinitionDefinitionTight">
    <w:name w:val="Definition Definition Tight"/>
    <w:basedOn w:val="Normal"/>
    <w:qFormat/>
    <w:pPr>
      <w:spacing w:before="0" w:after="0"/>
      <w:ind w:left="720" w:right="0" w:hanging="0"/>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Firstparagraph">
    <w:name w:val="First paragraph"/>
    <w:basedOn w:val="Normal"/>
    <w:next w:val="TextBody"/>
    <w:qFormat/>
    <w:pPr/>
    <w:rPr/>
  </w:style>
  <w:style w:type="numbering" w:styleId="Numbering1">
    <w:name w:val="Numbering 1"/>
    <w:qFormat/>
  </w:style>
  <w:style w:type="numbering" w:styleId="Numbering2">
    <w:name w:val="Numbering 2"/>
    <w:qFormat/>
  </w:style>
  <w:style w:type="numbering" w:styleId="Numbering3">
    <w:name w:val="Numbering 3"/>
    <w:qFormat/>
  </w:style>
  <w:style w:type="numbering" w:styleId="Numbering4">
    <w:name w:val="Numbering 4"/>
    <w:qFormat/>
  </w:style>
  <w:style w:type="numbering" w:styleId="Numbering5">
    <w:name w:val="Numbering 5"/>
    <w:qFormat/>
  </w:style>
  <w:style w:type="numbering" w:styleId="Bullet">
    <w:name w:val="Bullet •"/>
    <w:qFormat/>
  </w:style>
  <w:style w:type="numbering" w:styleId="Bullet1">
    <w:name w:val="Bullet –"/>
    <w:qFormat/>
  </w:style>
  <w:style w:type="numbering" w:styleId="Bullet2">
    <w:name w:val="Bullet "/>
    <w:qFormat/>
  </w:style>
  <w:style w:type="numbering" w:styleId="Bullet3">
    <w:name w:val="Bullet "/>
    <w:qFormat/>
  </w:style>
  <w:style w:type="numbering" w:styleId="Bullet4">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emf"/><Relationship Id="rId3" Type="http://schemas.openxmlformats.org/officeDocument/2006/relationships/image" Target="media/image2.emf"/><Relationship Id="rId4" Type="http://schemas.openxmlformats.org/officeDocument/2006/relationships/image" Target="media/image3.emf"/><Relationship Id="rId5" Type="http://schemas.openxmlformats.org/officeDocument/2006/relationships/image" Target="media/image4.emf"/><Relationship Id="rId6" Type="http://schemas.openxmlformats.org/officeDocument/2006/relationships/image" Target="media/image5.emf"/><Relationship Id="rId7" Type="http://schemas.openxmlformats.org/officeDocument/2006/relationships/image" Target="media/image6.emf"/><Relationship Id="rId8" Type="http://schemas.openxmlformats.org/officeDocument/2006/relationships/image" Target="media/image7.emf"/><Relationship Id="rId9" Type="http://schemas.openxmlformats.org/officeDocument/2006/relationships/image" Target="media/image8.emf"/><Relationship Id="rId10" Type="http://schemas.openxmlformats.org/officeDocument/2006/relationships/image" Target="media/image9.emf"/><Relationship Id="rId11" Type="http://schemas.openxmlformats.org/officeDocument/2006/relationships/image" Target="media/image10.emf"/><Relationship Id="rId12" Type="http://schemas.openxmlformats.org/officeDocument/2006/relationships/image" Target="media/image11.emf"/><Relationship Id="rId13" Type="http://schemas.openxmlformats.org/officeDocument/2006/relationships/image" Target="media/image12.emf"/><Relationship Id="rId14" Type="http://schemas.openxmlformats.org/officeDocument/2006/relationships/image" Target="media/image13.emf"/><Relationship Id="rId15" Type="http://schemas.openxmlformats.org/officeDocument/2006/relationships/image" Target="media/image14.emf"/><Relationship Id="rId16" Type="http://schemas.openxmlformats.org/officeDocument/2006/relationships/image" Target="media/image15.emf"/><Relationship Id="rId17" Type="http://schemas.openxmlformats.org/officeDocument/2006/relationships/footer" Target="footer1.xml"/><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TotalTime>
  <Application>LibreOffice/7.0.3.1$Linux_X86_64 LibreOffice_project/00$Build-1</Application>
  <Pages>29</Pages>
  <Words>8216</Words>
  <Characters>43974</Characters>
  <CharactersWithSpaces>51806</CharactersWithSpaces>
  <Paragraphs>375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2020-12-28T21:32:26Z</dcterms:created>
  <dc:creator/>
  <dc:description/>
  <cp:keywords> </cp:keywords>
  <dc:language>en-GB</dc:language>
  <cp:lastModifiedBy/>
  <dcterms:modified xsi:type="dcterms:W3CDTF">2020-12-28T21:37:38Z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